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234B3" w14:textId="0CECDA27" w:rsidR="004F1319" w:rsidRPr="00556CED" w:rsidRDefault="00556CED" w:rsidP="00862E02">
      <w:pPr>
        <w:spacing w:after="0"/>
        <w:jc w:val="center"/>
        <w:rPr>
          <w:b/>
          <w:bCs/>
        </w:rPr>
      </w:pPr>
      <w:bookmarkStart w:id="0" w:name="_GoBack"/>
      <w:bookmarkEnd w:id="0"/>
      <w:r w:rsidRPr="00556CED">
        <w:rPr>
          <w:b/>
          <w:bCs/>
        </w:rPr>
        <w:t>Terms of Reference (TOR)</w:t>
      </w:r>
    </w:p>
    <w:p w14:paraId="5C36400D" w14:textId="3DB16517" w:rsidR="00556CED" w:rsidRDefault="00B55CB9" w:rsidP="00862E02">
      <w:pPr>
        <w:ind w:left="720" w:hanging="720"/>
        <w:jc w:val="center"/>
      </w:pPr>
      <w:r>
        <w:t>Hiring a Communication</w:t>
      </w:r>
      <w:r w:rsidR="00AB5F07" w:rsidRPr="00AB5F07">
        <w:t xml:space="preserve"> Agency for Implementing JONAP II</w:t>
      </w:r>
      <w:r w:rsidR="00AB5F07">
        <w:t xml:space="preserve"> Communications </w:t>
      </w:r>
      <w:r w:rsidR="007D268C">
        <w:t>Strategy</w:t>
      </w:r>
    </w:p>
    <w:p w14:paraId="38638C39" w14:textId="7B9FFDD1" w:rsidR="00556CED" w:rsidRPr="000C44A2" w:rsidRDefault="000C44A2">
      <w:pPr>
        <w:rPr>
          <w:b/>
          <w:bCs/>
        </w:rPr>
      </w:pPr>
      <w:r w:rsidRPr="000C44A2">
        <w:rPr>
          <w:b/>
          <w:bCs/>
        </w:rPr>
        <w:t>Background</w:t>
      </w:r>
    </w:p>
    <w:p w14:paraId="69B1DF91" w14:textId="1996AAFA" w:rsidR="009955DF" w:rsidRDefault="009955DF" w:rsidP="009955DF">
      <w:r>
        <w:t>Following the success of JONAP I, advocacy</w:t>
      </w:r>
      <w:r w:rsidR="00DF1355">
        <w:t>,</w:t>
      </w:r>
      <w:r>
        <w:t xml:space="preserve"> and communications have been key in achieving the four pillars of JONAP: participation, prevention, protection, and relief and recovery. </w:t>
      </w:r>
      <w:r w:rsidR="00DF1355">
        <w:t>Implementing</w:t>
      </w:r>
      <w:r>
        <w:t xml:space="preserve"> JONAP I and its communications strategy established deep roots in local communities, sparking crucial discussions on gender equality, the WPS agenda, and gender-based violence. The strategy also provided valuable insights into engaging target audiences, informing the approach for JONAP II.</w:t>
      </w:r>
    </w:p>
    <w:p w14:paraId="48694F53" w14:textId="064197BD" w:rsidR="009955DF" w:rsidRDefault="009955DF" w:rsidP="009955DF">
      <w:r>
        <w:t xml:space="preserve">Building on these lessons, the JONAP II communications strategy is guided by </w:t>
      </w:r>
      <w:r w:rsidR="00813AD0">
        <w:t>comprehensive security, diversity, inclusion, transparency, accountability, decentralization, and localization principles</w:t>
      </w:r>
      <w:r>
        <w:t>. It also adapts to current challenges, including the COVID-19 pandemic, regional refugee crisis, harmful gender norms, and climate change impacts.</w:t>
      </w:r>
    </w:p>
    <w:p w14:paraId="56DC9CA6" w14:textId="558A17BF" w:rsidR="00556CED" w:rsidRDefault="009955DF" w:rsidP="009955DF">
      <w:r>
        <w:t>To advance JONAP II, UN Women, JNCW, and the JONAP national coalition have developed a comprehensive Communications Strategy. This strategy leverages insights from JONAP I</w:t>
      </w:r>
      <w:r w:rsidR="00E26AE0">
        <w:t>,</w:t>
      </w:r>
      <w:r>
        <w:t xml:space="preserve"> and addresses observed gaps, aiming to foster large-scale social change and promote gender equality and women's empowerment in Jordan.</w:t>
      </w:r>
    </w:p>
    <w:p w14:paraId="2549C8A4" w14:textId="77777777" w:rsidR="006D2CDF" w:rsidRDefault="006D2CDF" w:rsidP="006D2CDF">
      <w:pPr>
        <w:spacing w:after="0"/>
        <w:rPr>
          <w:b/>
          <w:bCs/>
        </w:rPr>
      </w:pPr>
    </w:p>
    <w:p w14:paraId="1D31EFF4" w14:textId="12B783D9" w:rsidR="0045381C" w:rsidRPr="00860536" w:rsidRDefault="0045381C" w:rsidP="009955DF">
      <w:pPr>
        <w:rPr>
          <w:b/>
          <w:bCs/>
        </w:rPr>
      </w:pPr>
      <w:r w:rsidRPr="00860536">
        <w:rPr>
          <w:b/>
          <w:bCs/>
        </w:rPr>
        <w:t>JONAP II Pro</w:t>
      </w:r>
      <w:r w:rsidR="00860536" w:rsidRPr="00860536">
        <w:rPr>
          <w:b/>
          <w:bCs/>
        </w:rPr>
        <w:t>ject’s Objectives and Outcomes</w:t>
      </w:r>
    </w:p>
    <w:p w14:paraId="173B251A" w14:textId="13A5B320" w:rsidR="00860536" w:rsidRPr="00860536" w:rsidRDefault="00E023BC" w:rsidP="00860536">
      <w:pPr>
        <w:rPr>
          <w:b/>
          <w:bCs/>
        </w:rPr>
      </w:pPr>
      <w:r>
        <w:rPr>
          <w:b/>
          <w:bCs/>
        </w:rPr>
        <w:t xml:space="preserve">Strategic </w:t>
      </w:r>
      <w:r w:rsidR="00860536" w:rsidRPr="00860536">
        <w:rPr>
          <w:b/>
          <w:bCs/>
        </w:rPr>
        <w:t>Project Objectives</w:t>
      </w:r>
    </w:p>
    <w:p w14:paraId="530B0E6A" w14:textId="190A95A1" w:rsidR="00860536" w:rsidRPr="00860536" w:rsidRDefault="00860536" w:rsidP="00860536">
      <w:r w:rsidRPr="00860536">
        <w:rPr>
          <w:b/>
          <w:bCs/>
        </w:rPr>
        <w:t>Result 1</w:t>
      </w:r>
      <w:r>
        <w:rPr>
          <w:b/>
          <w:bCs/>
        </w:rPr>
        <w:t>:</w:t>
      </w:r>
      <w:r w:rsidRPr="00860536">
        <w:t xml:space="preserve"> Achieve gender-responsive approaches and active participation of women in security and military sectors and peace operations.</w:t>
      </w:r>
    </w:p>
    <w:p w14:paraId="6A34ECA5" w14:textId="31B1DA27" w:rsidR="00860536" w:rsidRPr="00860536" w:rsidRDefault="00860536" w:rsidP="00860536">
      <w:r w:rsidRPr="00860536">
        <w:rPr>
          <w:b/>
          <w:bCs/>
        </w:rPr>
        <w:t>Result 2</w:t>
      </w:r>
      <w:r>
        <w:rPr>
          <w:b/>
          <w:bCs/>
        </w:rPr>
        <w:t>:</w:t>
      </w:r>
      <w:r w:rsidRPr="00860536">
        <w:t xml:space="preserve"> Attain purposeful engagement of women in preventing extremism</w:t>
      </w:r>
      <w:r w:rsidR="006C3C63">
        <w:t xml:space="preserve"> and violence</w:t>
      </w:r>
      <w:r w:rsidRPr="00860536">
        <w:t xml:space="preserve"> and in national and regional peacebuilding efforts.</w:t>
      </w:r>
    </w:p>
    <w:p w14:paraId="0B67649D" w14:textId="0FDE5837" w:rsidR="00860536" w:rsidRPr="00860536" w:rsidRDefault="00860536" w:rsidP="00860536">
      <w:r w:rsidRPr="00860536">
        <w:rPr>
          <w:b/>
          <w:bCs/>
        </w:rPr>
        <w:t>Result 3</w:t>
      </w:r>
      <w:r>
        <w:rPr>
          <w:b/>
          <w:bCs/>
        </w:rPr>
        <w:t>:</w:t>
      </w:r>
      <w:r w:rsidRPr="00860536">
        <w:t xml:space="preserve"> Provide responsive and gender-sensitive humanitarian services (psychological, social, legal, medical) and facilitate safe access, especially for Jordanian and refugee women most vulnerable to violence and in need of protection, in Jordan's host communities and refugee camps, aligning with the Jordanian response plan to the Syrian crisis.</w:t>
      </w:r>
    </w:p>
    <w:p w14:paraId="188B9961" w14:textId="1ABDA82B" w:rsidR="00860536" w:rsidRPr="00860536" w:rsidRDefault="00860536" w:rsidP="00860536">
      <w:pPr>
        <w:rPr>
          <w:rtl/>
        </w:rPr>
      </w:pPr>
      <w:r w:rsidRPr="00860536">
        <w:rPr>
          <w:b/>
          <w:bCs/>
        </w:rPr>
        <w:t>Result 4</w:t>
      </w:r>
      <w:r>
        <w:rPr>
          <w:b/>
          <w:bCs/>
        </w:rPr>
        <w:t>:</w:t>
      </w:r>
      <w:r w:rsidRPr="00860536">
        <w:t xml:space="preserve"> Foster a societal culture that supports gender-sensitive needs and the importance of gender equality, including the role of women, in achieving security and peace. (By the Jordanian Constitution and the permissive Islamic Sharia)</w:t>
      </w:r>
    </w:p>
    <w:p w14:paraId="2F5B1D91" w14:textId="7C60ACFE" w:rsidR="00E26AE0" w:rsidRDefault="00E26AE0" w:rsidP="00455CC7">
      <w:pPr>
        <w:spacing w:after="0"/>
        <w:rPr>
          <w:b/>
          <w:bCs/>
        </w:rPr>
      </w:pPr>
    </w:p>
    <w:p w14:paraId="7C3D22DF" w14:textId="391680E2" w:rsidR="00860536" w:rsidRPr="00860536" w:rsidRDefault="006C3C63" w:rsidP="00860536">
      <w:pPr>
        <w:rPr>
          <w:b/>
          <w:bCs/>
        </w:rPr>
      </w:pPr>
      <w:r>
        <w:rPr>
          <w:b/>
          <w:bCs/>
        </w:rPr>
        <w:t xml:space="preserve">Project </w:t>
      </w:r>
      <w:r w:rsidR="00860536" w:rsidRPr="00860536">
        <w:rPr>
          <w:b/>
          <w:bCs/>
        </w:rPr>
        <w:t>Outcomes</w:t>
      </w:r>
    </w:p>
    <w:p w14:paraId="506FC98F" w14:textId="77777777" w:rsidR="00860536" w:rsidRPr="00860536" w:rsidRDefault="00860536" w:rsidP="00860536">
      <w:r w:rsidRPr="00860536">
        <w:rPr>
          <w:b/>
          <w:bCs/>
        </w:rPr>
        <w:t>Outcome 1:</w:t>
      </w:r>
      <w:r w:rsidRPr="00860536">
        <w:t xml:space="preserve"> Jordanian security, military, diplomatic and justice sectors are gender- responsive and women actively participate in them across all levels.</w:t>
      </w:r>
    </w:p>
    <w:p w14:paraId="6B945939" w14:textId="77777777" w:rsidR="00860536" w:rsidRPr="00860536" w:rsidRDefault="00860536" w:rsidP="00860536">
      <w:r w:rsidRPr="00860536">
        <w:rPr>
          <w:b/>
          <w:bCs/>
        </w:rPr>
        <w:t>Outcome 2</w:t>
      </w:r>
      <w:r w:rsidRPr="00860536">
        <w:t>: Women actively participate in decision-making frameworks for prevention and response to crises, climate change and emergencies (including natural disasters, pandemics and armed conflicts), and ensure the consideration of gender needs.</w:t>
      </w:r>
    </w:p>
    <w:p w14:paraId="352FDD96" w14:textId="4DFEF018" w:rsidR="00860536" w:rsidRPr="00860536" w:rsidRDefault="00860536" w:rsidP="00860536">
      <w:r w:rsidRPr="00860536">
        <w:rPr>
          <w:b/>
          <w:bCs/>
        </w:rPr>
        <w:t>Outcome 3</w:t>
      </w:r>
      <w:r w:rsidRPr="00860536">
        <w:t xml:space="preserve">: Women and girls in Jordan, especially from marginalized groups, can safely access </w:t>
      </w:r>
      <w:r w:rsidR="00F34CE7">
        <w:t>gender-responsive social protection as well as basic and humanitarian services (including shelter services, medical, psychological, legal services,</w:t>
      </w:r>
      <w:r w:rsidRPr="00860536">
        <w:t xml:space="preserve"> and social protection).</w:t>
      </w:r>
    </w:p>
    <w:p w14:paraId="0854A354" w14:textId="77777777" w:rsidR="00860536" w:rsidRPr="00860536" w:rsidRDefault="00860536" w:rsidP="00860536">
      <w:r w:rsidRPr="00860536">
        <w:rPr>
          <w:b/>
          <w:bCs/>
        </w:rPr>
        <w:lastRenderedPageBreak/>
        <w:t>Outcome 4</w:t>
      </w:r>
      <w:r w:rsidRPr="00860536">
        <w:t>: Schools, media, religious and community leaders, as well as young men and women promote gender equality and the prevention of gender-based violence, discrimination and violent extremism.</w:t>
      </w:r>
    </w:p>
    <w:p w14:paraId="3AD57272" w14:textId="77777777" w:rsidR="009955DF" w:rsidRDefault="009955DF" w:rsidP="009955DF">
      <w:pPr>
        <w:spacing w:after="0"/>
        <w:rPr>
          <w:b/>
          <w:bCs/>
        </w:rPr>
      </w:pPr>
    </w:p>
    <w:p w14:paraId="34929C0B" w14:textId="200E918D" w:rsidR="00FF189A" w:rsidRPr="00FF189A" w:rsidRDefault="000769CE" w:rsidP="00FF189A">
      <w:pPr>
        <w:rPr>
          <w:b/>
          <w:bCs/>
        </w:rPr>
      </w:pPr>
      <w:r>
        <w:rPr>
          <w:b/>
          <w:bCs/>
        </w:rPr>
        <w:t>Objective</w:t>
      </w:r>
      <w:r w:rsidR="00FF189A" w:rsidRPr="00FF189A">
        <w:rPr>
          <w:b/>
          <w:bCs/>
        </w:rPr>
        <w:t xml:space="preserve"> of the assignment</w:t>
      </w:r>
    </w:p>
    <w:p w14:paraId="252A56AA" w14:textId="32740A15" w:rsidR="00FF189A" w:rsidRDefault="0092198A" w:rsidP="0092198A">
      <w:r>
        <w:t>JNCW and UN Women are enhancing the implementation and awareness of the Jordanian National Action Plan on UNSCR 1325 (JONAP II) through a pooled fun</w:t>
      </w:r>
      <w:r w:rsidR="009951A4">
        <w:t>d</w:t>
      </w:r>
      <w:r>
        <w:t xml:space="preserve"> in partnership with other stakeholders. To amplify the reach and effectiveness of JONAP II's Communications Strategy</w:t>
      </w:r>
      <w:r w:rsidR="003524EF">
        <w:t>.</w:t>
      </w:r>
      <w:r>
        <w:t xml:space="preserve"> JNCW and UN Women are selecting a national company with expertise in strategic communications, advocacy, media outreach, and gender, peace, and security. This company will </w:t>
      </w:r>
      <w:r w:rsidR="0035417E">
        <w:t>provide</w:t>
      </w:r>
      <w:r>
        <w:t xml:space="preserve"> logistical and advisory support to execute the JONAP II Communications Strategy under the guidance and oversight of JNCW and UN Women, working in close collaboration with national partners of JONAP II.</w:t>
      </w:r>
    </w:p>
    <w:p w14:paraId="48283A02" w14:textId="77777777" w:rsidR="002E756B" w:rsidRDefault="002E756B" w:rsidP="009955DF">
      <w:pPr>
        <w:spacing w:after="0"/>
      </w:pPr>
    </w:p>
    <w:p w14:paraId="6CA239D2" w14:textId="77777777" w:rsidR="00350C80" w:rsidRPr="00D20CF8" w:rsidRDefault="00350C80" w:rsidP="00350C80">
      <w:pPr>
        <w:rPr>
          <w:b/>
          <w:bCs/>
        </w:rPr>
      </w:pPr>
      <w:r w:rsidRPr="00D20CF8">
        <w:rPr>
          <w:b/>
          <w:bCs/>
        </w:rPr>
        <w:t xml:space="preserve">Key Communications Objectives from the 2022-2025 JONAP II Communications Strategy: </w:t>
      </w:r>
    </w:p>
    <w:p w14:paraId="26912660" w14:textId="49EC49B3" w:rsidR="00350C80" w:rsidRDefault="00350C80" w:rsidP="00D20CF8">
      <w:pPr>
        <w:pStyle w:val="ListParagraph"/>
        <w:numPr>
          <w:ilvl w:val="0"/>
          <w:numId w:val="2"/>
        </w:numPr>
        <w:ind w:left="540" w:hanging="360"/>
      </w:pPr>
      <w:r>
        <w:t>Highlighting the achievements of women in prominent roles, including the diplomatic and justice sectors.</w:t>
      </w:r>
    </w:p>
    <w:p w14:paraId="2979F8BC" w14:textId="3E2A27C3" w:rsidR="00350C80" w:rsidRDefault="00350C80" w:rsidP="00D20CF8">
      <w:pPr>
        <w:pStyle w:val="ListParagraph"/>
        <w:numPr>
          <w:ilvl w:val="0"/>
          <w:numId w:val="2"/>
        </w:numPr>
        <w:ind w:left="540" w:hanging="360"/>
      </w:pPr>
      <w:r>
        <w:t>Highlighting the diversity of women occupying prominent and impactful roles in said sectors, including the diversity of ages, backgrounds, and nationalities.</w:t>
      </w:r>
    </w:p>
    <w:p w14:paraId="4747FF31" w14:textId="76EDAE84" w:rsidR="00350C80" w:rsidRDefault="00350C80" w:rsidP="00D20CF8">
      <w:pPr>
        <w:pStyle w:val="ListParagraph"/>
        <w:numPr>
          <w:ilvl w:val="0"/>
          <w:numId w:val="2"/>
        </w:numPr>
        <w:ind w:left="540" w:hanging="360"/>
      </w:pPr>
      <w:r>
        <w:t>Communicating a more comprehensive definition of peace and security.</w:t>
      </w:r>
    </w:p>
    <w:p w14:paraId="78563E52" w14:textId="60078665" w:rsidR="00350C80" w:rsidRDefault="00350C80" w:rsidP="00D20CF8">
      <w:pPr>
        <w:pStyle w:val="ListParagraph"/>
        <w:numPr>
          <w:ilvl w:val="0"/>
          <w:numId w:val="2"/>
        </w:numPr>
        <w:ind w:left="540" w:hanging="360"/>
      </w:pPr>
      <w:r>
        <w:t>Positioning diversity and gender equality as vital prerequisites of peace and security.</w:t>
      </w:r>
    </w:p>
    <w:p w14:paraId="294DD45C" w14:textId="77777777" w:rsidR="00D20CF8" w:rsidRDefault="00D20CF8" w:rsidP="009955DF">
      <w:pPr>
        <w:spacing w:after="0"/>
      </w:pPr>
    </w:p>
    <w:p w14:paraId="4D95580F" w14:textId="77777777" w:rsidR="00E237E4" w:rsidRPr="00500482" w:rsidRDefault="00E237E4" w:rsidP="00E237E4">
      <w:pPr>
        <w:rPr>
          <w:b/>
          <w:bCs/>
        </w:rPr>
      </w:pPr>
      <w:r w:rsidRPr="00500482">
        <w:rPr>
          <w:b/>
          <w:bCs/>
        </w:rPr>
        <w:t>Communication Goals:</w:t>
      </w:r>
    </w:p>
    <w:p w14:paraId="75602272" w14:textId="658AB875" w:rsidR="00E237E4" w:rsidRPr="00500482" w:rsidRDefault="00E237E4" w:rsidP="00500482">
      <w:pPr>
        <w:rPr>
          <w:i/>
          <w:iCs/>
        </w:rPr>
      </w:pPr>
      <w:r w:rsidRPr="00500482">
        <w:rPr>
          <w:b/>
          <w:bCs/>
          <w:i/>
          <w:iCs/>
        </w:rPr>
        <w:t>Goal 1:</w:t>
      </w:r>
      <w:r w:rsidRPr="00500482">
        <w:rPr>
          <w:i/>
          <w:iCs/>
        </w:rPr>
        <w:t xml:space="preserve"> Raise Awareness and Understanding</w:t>
      </w:r>
    </w:p>
    <w:p w14:paraId="041657F1" w14:textId="7E60ABB2" w:rsidR="00E237E4" w:rsidRDefault="00E237E4" w:rsidP="00500482">
      <w:r>
        <w:t xml:space="preserve">Increase awareness about the importance of gender-responsive approaches and </w:t>
      </w:r>
      <w:r w:rsidR="00500482">
        <w:t>women's active participation in security, military,</w:t>
      </w:r>
      <w:r>
        <w:t xml:space="preserve"> and peace operations.</w:t>
      </w:r>
    </w:p>
    <w:p w14:paraId="68387B03" w14:textId="79B524F4" w:rsidR="00E237E4" w:rsidRPr="00500482" w:rsidRDefault="00E237E4" w:rsidP="00500482">
      <w:pPr>
        <w:rPr>
          <w:i/>
          <w:iCs/>
        </w:rPr>
      </w:pPr>
      <w:r w:rsidRPr="00500482">
        <w:rPr>
          <w:b/>
          <w:bCs/>
          <w:i/>
          <w:iCs/>
        </w:rPr>
        <w:t>Goal 2:</w:t>
      </w:r>
      <w:r w:rsidRPr="00500482">
        <w:rPr>
          <w:i/>
          <w:iCs/>
        </w:rPr>
        <w:t xml:space="preserve"> Promote Active Participation</w:t>
      </w:r>
    </w:p>
    <w:p w14:paraId="59D40059" w14:textId="2F13147C" w:rsidR="00E237E4" w:rsidRDefault="00E237E4" w:rsidP="00500482">
      <w:r>
        <w:t>Encourage purposeful engagement of women in preventing extremism</w:t>
      </w:r>
      <w:r w:rsidR="00500482">
        <w:t xml:space="preserve"> and violence</w:t>
      </w:r>
      <w:r>
        <w:t xml:space="preserve"> and in national and regional peacebuilding efforts.</w:t>
      </w:r>
    </w:p>
    <w:p w14:paraId="351E4381" w14:textId="477F0A56" w:rsidR="00E237E4" w:rsidRPr="00500482" w:rsidRDefault="00E237E4" w:rsidP="00500482">
      <w:pPr>
        <w:rPr>
          <w:i/>
          <w:iCs/>
        </w:rPr>
      </w:pPr>
      <w:r w:rsidRPr="00500482">
        <w:rPr>
          <w:b/>
          <w:bCs/>
          <w:i/>
          <w:iCs/>
        </w:rPr>
        <w:t>Goal 3:</w:t>
      </w:r>
      <w:r w:rsidRPr="00500482">
        <w:rPr>
          <w:i/>
          <w:iCs/>
        </w:rPr>
        <w:t xml:space="preserve"> Enhance Access and Support</w:t>
      </w:r>
    </w:p>
    <w:p w14:paraId="6510784A" w14:textId="77777777" w:rsidR="00E237E4" w:rsidRDefault="00E237E4" w:rsidP="00500482">
      <w:r>
        <w:t>Ensure access to responsive and gender-sensitive humanitarian services for Jordanian and refugee women most vulnerable to violence and in need of protection.</w:t>
      </w:r>
    </w:p>
    <w:p w14:paraId="43E39336" w14:textId="7AA32DC0" w:rsidR="00E237E4" w:rsidRPr="00500482" w:rsidRDefault="00E237E4" w:rsidP="00500482">
      <w:pPr>
        <w:rPr>
          <w:i/>
          <w:iCs/>
        </w:rPr>
      </w:pPr>
      <w:r w:rsidRPr="00500482">
        <w:rPr>
          <w:b/>
          <w:bCs/>
          <w:i/>
          <w:iCs/>
        </w:rPr>
        <w:t>Goal 4:</w:t>
      </w:r>
      <w:r w:rsidRPr="00500482">
        <w:rPr>
          <w:i/>
          <w:iCs/>
        </w:rPr>
        <w:t xml:space="preserve"> Foster a Supportive Culture</w:t>
      </w:r>
    </w:p>
    <w:p w14:paraId="6A1DC5F9" w14:textId="0C9360C7" w:rsidR="00660D9C" w:rsidRDefault="00E237E4" w:rsidP="00500482">
      <w:r>
        <w:t>Cultivate a societal culture that supports gender-sensitive needs and the importance of gender equality, including the role of women, in achieving security and peace.</w:t>
      </w:r>
    </w:p>
    <w:p w14:paraId="66E9C778" w14:textId="77777777" w:rsidR="00500482" w:rsidRDefault="00500482" w:rsidP="009955DF">
      <w:pPr>
        <w:spacing w:after="0"/>
      </w:pPr>
    </w:p>
    <w:p w14:paraId="469F63A1" w14:textId="140846D7" w:rsidR="00F131F4" w:rsidRPr="00062360" w:rsidRDefault="00F06015" w:rsidP="00062360">
      <w:pPr>
        <w:rPr>
          <w:b/>
          <w:bCs/>
        </w:rPr>
      </w:pPr>
      <w:r w:rsidRPr="00F06015">
        <w:rPr>
          <w:b/>
          <w:bCs/>
        </w:rPr>
        <w:t>Key Messages:</w:t>
      </w:r>
    </w:p>
    <w:p w14:paraId="4872BA09" w14:textId="4CA4BC15" w:rsidR="00F131F4" w:rsidRPr="00062360" w:rsidRDefault="00F131F4" w:rsidP="00062360">
      <w:pPr>
        <w:pStyle w:val="ListParagraph"/>
        <w:numPr>
          <w:ilvl w:val="0"/>
          <w:numId w:val="15"/>
        </w:numPr>
        <w:rPr>
          <w:lang w:val="en-GB"/>
        </w:rPr>
      </w:pPr>
      <w:r w:rsidRPr="00062360">
        <w:rPr>
          <w:lang w:val="en-GB"/>
        </w:rPr>
        <w:t>Women</w:t>
      </w:r>
      <w:r w:rsidRPr="00062360">
        <w:rPr>
          <w:rtl/>
        </w:rPr>
        <w:t>’</w:t>
      </w:r>
      <w:r w:rsidRPr="00062360">
        <w:rPr>
          <w:lang w:val="en-GB"/>
        </w:rPr>
        <w:t>s participation in high-level decision-making will significantly improve the chances of attaining sustainable and long-lasting peace and security.</w:t>
      </w:r>
    </w:p>
    <w:p w14:paraId="3D640D5C" w14:textId="7A2481BB" w:rsidR="0026163C" w:rsidRPr="00062360" w:rsidRDefault="0026163C" w:rsidP="00062360">
      <w:pPr>
        <w:pStyle w:val="ListParagraph"/>
        <w:numPr>
          <w:ilvl w:val="0"/>
          <w:numId w:val="15"/>
        </w:numPr>
        <w:rPr>
          <w:lang w:val="en-GB"/>
        </w:rPr>
      </w:pPr>
      <w:r w:rsidRPr="00062360">
        <w:rPr>
          <w:lang w:val="en-GB"/>
        </w:rPr>
        <w:t>Women</w:t>
      </w:r>
      <w:r w:rsidRPr="00062360">
        <w:rPr>
          <w:rtl/>
          <w:lang w:val="en-GB"/>
        </w:rPr>
        <w:t>’</w:t>
      </w:r>
      <w:r w:rsidRPr="00062360">
        <w:rPr>
          <w:lang w:val="en-GB"/>
        </w:rPr>
        <w:t>s participation in crisis prevention and Preventing Violent Extremism (</w:t>
      </w:r>
      <w:r w:rsidR="006975CD" w:rsidRPr="00062360">
        <w:rPr>
          <w:lang w:val="en-GB"/>
        </w:rPr>
        <w:t>PVE) will</w:t>
      </w:r>
      <w:r w:rsidRPr="00062360">
        <w:rPr>
          <w:lang w:val="en-GB"/>
        </w:rPr>
        <w:t xml:space="preserve"> help deliver more comprehensive, inclusive, and impactful responses.</w:t>
      </w:r>
    </w:p>
    <w:p w14:paraId="3D96421A" w14:textId="4CFF3316" w:rsidR="00F131F4" w:rsidRPr="00062360" w:rsidRDefault="00832F44" w:rsidP="00062360">
      <w:pPr>
        <w:pStyle w:val="ListParagraph"/>
        <w:numPr>
          <w:ilvl w:val="0"/>
          <w:numId w:val="15"/>
        </w:numPr>
        <w:rPr>
          <w:lang w:val="en-GB"/>
        </w:rPr>
      </w:pPr>
      <w:r w:rsidRPr="00062360">
        <w:rPr>
          <w:lang w:val="en-GB"/>
        </w:rPr>
        <w:t>For women and girls, access to services that are designed to prevent and respond to gender-based violence is a fundamental right.</w:t>
      </w:r>
    </w:p>
    <w:p w14:paraId="6BDBF2D1" w14:textId="707D93E6" w:rsidR="00832F44" w:rsidRPr="00062360" w:rsidRDefault="00F06032" w:rsidP="00062360">
      <w:pPr>
        <w:pStyle w:val="ListParagraph"/>
        <w:numPr>
          <w:ilvl w:val="0"/>
          <w:numId w:val="15"/>
        </w:numPr>
        <w:rPr>
          <w:lang w:val="en-GB"/>
        </w:rPr>
      </w:pPr>
      <w:r w:rsidRPr="00062360">
        <w:rPr>
          <w:lang w:val="en-GB"/>
        </w:rPr>
        <w:lastRenderedPageBreak/>
        <w:t xml:space="preserve">The core of peace and security is a community culture that recognizes and embraces gender equality and </w:t>
      </w:r>
      <w:r w:rsidR="006975CD">
        <w:rPr>
          <w:lang w:val="en-GB"/>
        </w:rPr>
        <w:t>women's inherent dignity</w:t>
      </w:r>
      <w:r w:rsidRPr="00062360">
        <w:rPr>
          <w:lang w:val="en-GB"/>
        </w:rPr>
        <w:t xml:space="preserve"> in all their diversity.</w:t>
      </w:r>
    </w:p>
    <w:p w14:paraId="142402D3" w14:textId="77777777" w:rsidR="00F07FA5" w:rsidRDefault="00F07FA5" w:rsidP="009955DF">
      <w:pPr>
        <w:spacing w:after="0"/>
      </w:pPr>
    </w:p>
    <w:p w14:paraId="439C6613" w14:textId="04DD69E5" w:rsidR="002750FD" w:rsidRPr="00F07FA5" w:rsidRDefault="00F07FA5" w:rsidP="002750FD">
      <w:pPr>
        <w:rPr>
          <w:b/>
          <w:bCs/>
        </w:rPr>
      </w:pPr>
      <w:r w:rsidRPr="00F07FA5">
        <w:rPr>
          <w:b/>
          <w:bCs/>
        </w:rPr>
        <w:t>Target Audiences:</w:t>
      </w:r>
    </w:p>
    <w:p w14:paraId="7C36C20F" w14:textId="057C283B" w:rsidR="00F07FA5" w:rsidRPr="00F07FA5" w:rsidRDefault="00F07FA5" w:rsidP="00F07FA5">
      <w:pPr>
        <w:pStyle w:val="ListParagraph"/>
        <w:numPr>
          <w:ilvl w:val="0"/>
          <w:numId w:val="10"/>
        </w:numPr>
      </w:pPr>
      <w:r w:rsidRPr="00F07FA5">
        <w:t>Government officials, professionals, and decision-makers in the security, military, diplomatic, and justice sectors, including the United Nations.</w:t>
      </w:r>
    </w:p>
    <w:p w14:paraId="5BBFB049" w14:textId="339D09FF" w:rsidR="00F07FA5" w:rsidRPr="00F07FA5" w:rsidRDefault="00F07FA5" w:rsidP="00F07FA5">
      <w:pPr>
        <w:pStyle w:val="ListParagraph"/>
        <w:numPr>
          <w:ilvl w:val="0"/>
          <w:numId w:val="10"/>
        </w:numPr>
      </w:pPr>
      <w:r w:rsidRPr="00F07FA5">
        <w:t>Women leaders and women-led organizations and women in prominent roles</w:t>
      </w:r>
    </w:p>
    <w:p w14:paraId="63DABDA7" w14:textId="4E3C3B12" w:rsidR="00F07FA5" w:rsidRPr="00F07FA5" w:rsidRDefault="00F07FA5" w:rsidP="00F07FA5">
      <w:pPr>
        <w:pStyle w:val="ListParagraph"/>
        <w:numPr>
          <w:ilvl w:val="0"/>
          <w:numId w:val="10"/>
        </w:numPr>
      </w:pPr>
      <w:r w:rsidRPr="00F07FA5">
        <w:t>Social media/opinion influencers.</w:t>
      </w:r>
    </w:p>
    <w:p w14:paraId="59AAA767" w14:textId="1E7019C0" w:rsidR="00F07FA5" w:rsidRPr="00F07FA5" w:rsidRDefault="00F07FA5" w:rsidP="00F07FA5">
      <w:pPr>
        <w:pStyle w:val="ListParagraph"/>
        <w:numPr>
          <w:ilvl w:val="0"/>
          <w:numId w:val="10"/>
        </w:numPr>
      </w:pPr>
      <w:r w:rsidRPr="00F07FA5">
        <w:t>Policy and decision makers.</w:t>
      </w:r>
    </w:p>
    <w:p w14:paraId="02E4FE4D" w14:textId="508EB44C" w:rsidR="00F07FA5" w:rsidRPr="00F07FA5" w:rsidRDefault="00F07FA5" w:rsidP="00F07FA5">
      <w:pPr>
        <w:pStyle w:val="ListParagraph"/>
        <w:numPr>
          <w:ilvl w:val="0"/>
          <w:numId w:val="10"/>
        </w:numPr>
      </w:pPr>
      <w:r w:rsidRPr="00F07FA5">
        <w:t xml:space="preserve">Media professionals, journalists and media outlets. </w:t>
      </w:r>
    </w:p>
    <w:p w14:paraId="25FC8852" w14:textId="4628E3C9" w:rsidR="00F07FA5" w:rsidRPr="00F07FA5" w:rsidRDefault="00F07FA5" w:rsidP="00F07FA5">
      <w:pPr>
        <w:pStyle w:val="ListParagraph"/>
        <w:numPr>
          <w:ilvl w:val="0"/>
          <w:numId w:val="10"/>
        </w:numPr>
      </w:pPr>
      <w:r w:rsidRPr="00F07FA5">
        <w:t>Adolescent girls and young women.</w:t>
      </w:r>
    </w:p>
    <w:p w14:paraId="64067C0B" w14:textId="39D0553A" w:rsidR="00F07FA5" w:rsidRPr="00F07FA5" w:rsidRDefault="00F07FA5" w:rsidP="00F07FA5">
      <w:pPr>
        <w:pStyle w:val="ListParagraph"/>
        <w:numPr>
          <w:ilvl w:val="0"/>
          <w:numId w:val="10"/>
        </w:numPr>
      </w:pPr>
      <w:r w:rsidRPr="00F07FA5">
        <w:t>Women and girls from marginalized groups.</w:t>
      </w:r>
    </w:p>
    <w:p w14:paraId="67D1A310" w14:textId="3E4597A0" w:rsidR="00F07FA5" w:rsidRPr="00F07FA5" w:rsidRDefault="00F07FA5" w:rsidP="00F07FA5">
      <w:pPr>
        <w:pStyle w:val="ListParagraph"/>
        <w:numPr>
          <w:ilvl w:val="0"/>
          <w:numId w:val="10"/>
        </w:numPr>
      </w:pPr>
      <w:r w:rsidRPr="00F07FA5">
        <w:t>Civil society organizations (CSOs).</w:t>
      </w:r>
    </w:p>
    <w:p w14:paraId="70697A52" w14:textId="3389E27F" w:rsidR="00F07FA5" w:rsidRPr="00F07FA5" w:rsidRDefault="00F07FA5" w:rsidP="00F07FA5">
      <w:pPr>
        <w:pStyle w:val="ListParagraph"/>
        <w:numPr>
          <w:ilvl w:val="0"/>
          <w:numId w:val="10"/>
        </w:numPr>
      </w:pPr>
      <w:r w:rsidRPr="00F07FA5">
        <w:t>Students, educational institutions, and teachers.</w:t>
      </w:r>
    </w:p>
    <w:p w14:paraId="19869001" w14:textId="236C67BD" w:rsidR="00F07FA5" w:rsidRPr="00F07FA5" w:rsidRDefault="00F07FA5" w:rsidP="00F07FA5">
      <w:pPr>
        <w:pStyle w:val="ListParagraph"/>
        <w:numPr>
          <w:ilvl w:val="0"/>
          <w:numId w:val="10"/>
        </w:numPr>
      </w:pPr>
      <w:r w:rsidRPr="00F07FA5">
        <w:t>Religious and community leaders</w:t>
      </w:r>
    </w:p>
    <w:p w14:paraId="5A4F45B6" w14:textId="108AA2D6" w:rsidR="00F07FA5" w:rsidRPr="00F07FA5" w:rsidRDefault="00F07FA5" w:rsidP="00F07FA5">
      <w:pPr>
        <w:pStyle w:val="ListParagraph"/>
        <w:numPr>
          <w:ilvl w:val="0"/>
          <w:numId w:val="10"/>
        </w:numPr>
      </w:pPr>
      <w:r w:rsidRPr="00F07FA5">
        <w:t>Men and boys.</w:t>
      </w:r>
    </w:p>
    <w:p w14:paraId="697DEDF5" w14:textId="5BB75B1E" w:rsidR="00F07FA5" w:rsidRDefault="00F07FA5" w:rsidP="00F07FA5">
      <w:pPr>
        <w:pStyle w:val="ListParagraph"/>
        <w:numPr>
          <w:ilvl w:val="0"/>
          <w:numId w:val="10"/>
        </w:numPr>
      </w:pPr>
      <w:r w:rsidRPr="00F07FA5">
        <w:t>Service providers and the public</w:t>
      </w:r>
    </w:p>
    <w:p w14:paraId="5245E6D6" w14:textId="77777777" w:rsidR="00120E83" w:rsidRDefault="00120E83" w:rsidP="00120E83"/>
    <w:p w14:paraId="5A4124B1" w14:textId="77777777" w:rsidR="00FC1900" w:rsidRDefault="00FC1900">
      <w:pPr>
        <w:rPr>
          <w:b/>
          <w:bCs/>
        </w:rPr>
      </w:pPr>
      <w:r>
        <w:rPr>
          <w:b/>
          <w:bCs/>
        </w:rPr>
        <w:br w:type="page"/>
      </w:r>
    </w:p>
    <w:p w14:paraId="10298993" w14:textId="77777777" w:rsidR="00FC1900" w:rsidRDefault="00FC1900" w:rsidP="008A079E">
      <w:pPr>
        <w:rPr>
          <w:b/>
          <w:bCs/>
        </w:rPr>
        <w:sectPr w:rsidR="00FC1900" w:rsidSect="00FC1900">
          <w:headerReference w:type="default" r:id="rId7"/>
          <w:footerReference w:type="default" r:id="rId8"/>
          <w:pgSz w:w="12240" w:h="15840"/>
          <w:pgMar w:top="500" w:right="920" w:bottom="520" w:left="1340" w:header="776" w:footer="739" w:gutter="0"/>
          <w:cols w:space="720"/>
          <w:docGrid w:linePitch="299"/>
        </w:sectPr>
      </w:pPr>
    </w:p>
    <w:p w14:paraId="7EE0488A" w14:textId="5AFA955E" w:rsidR="008A079E" w:rsidRPr="008A079E" w:rsidRDefault="008A079E" w:rsidP="008A079E">
      <w:pPr>
        <w:rPr>
          <w:b/>
          <w:bCs/>
        </w:rPr>
      </w:pPr>
      <w:r w:rsidRPr="008A079E">
        <w:rPr>
          <w:b/>
          <w:bCs/>
        </w:rPr>
        <w:lastRenderedPageBreak/>
        <w:t xml:space="preserve">Scope of Work </w:t>
      </w:r>
    </w:p>
    <w:p w14:paraId="1D95DB10" w14:textId="311F6E0D" w:rsidR="00051704" w:rsidRDefault="008A079E" w:rsidP="0041786D">
      <w:r>
        <w:t>Under the overall guidance of the JNCW and UN Women, and the direct supervision of the</w:t>
      </w:r>
      <w:r w:rsidR="0084225E">
        <w:t xml:space="preserve"> Communications </w:t>
      </w:r>
      <w:r>
        <w:t>Specialist</w:t>
      </w:r>
      <w:r w:rsidR="0084225E">
        <w:t xml:space="preserve"> of UN Women</w:t>
      </w:r>
      <w:r>
        <w:t xml:space="preserve">, the selected company is tasked with executing a comprehensive set of activities in line with the strategic objectives of the Jordanian National Action Plan (JONAP) II Communications Strategy. </w:t>
      </w:r>
      <w:r w:rsidR="000C33F6">
        <w:t xml:space="preserve">From </w:t>
      </w:r>
      <w:r w:rsidR="00EE2768">
        <w:t xml:space="preserve">September </w:t>
      </w:r>
      <w:r w:rsidR="000C33F6">
        <w:t xml:space="preserve">2024 to </w:t>
      </w:r>
      <w:r w:rsidR="00EE2768">
        <w:t xml:space="preserve">December </w:t>
      </w:r>
      <w:r w:rsidR="000C33F6">
        <w:t xml:space="preserve">2025, this initiative </w:t>
      </w:r>
      <w:r>
        <w:t>aims to bolster gender equality, enhance women's participation across crucial sectors, and combat gender-based violence in Jordan. To achieve these goals, we are soliciting the services of a communications agency proficient in the following areas</w:t>
      </w:r>
      <w:r w:rsidR="00B959D7">
        <w:t xml:space="preserve"> mentioned in the deliverables.</w:t>
      </w:r>
    </w:p>
    <w:p w14:paraId="437712C3" w14:textId="1E7E199E" w:rsidR="001F4219" w:rsidRPr="00CF2BFA" w:rsidRDefault="001F4219" w:rsidP="001F4219">
      <w:pPr>
        <w:rPr>
          <w:b/>
          <w:bCs/>
        </w:rPr>
      </w:pPr>
      <w:r>
        <w:rPr>
          <w:b/>
          <w:bCs/>
        </w:rPr>
        <w:t>Deliverables Summary:</w:t>
      </w:r>
    </w:p>
    <w:tbl>
      <w:tblPr>
        <w:tblStyle w:val="TableGrid"/>
        <w:tblW w:w="0" w:type="auto"/>
        <w:tblInd w:w="715" w:type="dxa"/>
        <w:tblLook w:val="04A0" w:firstRow="1" w:lastRow="0" w:firstColumn="1" w:lastColumn="0" w:noHBand="0" w:noVBand="1"/>
      </w:tblPr>
      <w:tblGrid>
        <w:gridCol w:w="1749"/>
        <w:gridCol w:w="4672"/>
        <w:gridCol w:w="3209"/>
        <w:gridCol w:w="1418"/>
      </w:tblGrid>
      <w:tr w:rsidR="001F4219" w:rsidRPr="00CF2BFA" w14:paraId="43B7BE41" w14:textId="77777777" w:rsidTr="00AB5798">
        <w:trPr>
          <w:trHeight w:val="589"/>
        </w:trPr>
        <w:tc>
          <w:tcPr>
            <w:tcW w:w="1749" w:type="dxa"/>
          </w:tcPr>
          <w:p w14:paraId="4A179B1C" w14:textId="77777777" w:rsidR="001F4219" w:rsidRPr="00CF2BFA" w:rsidRDefault="001F4219" w:rsidP="00AB5798">
            <w:pPr>
              <w:jc w:val="center"/>
              <w:rPr>
                <w:b/>
                <w:bCs/>
              </w:rPr>
            </w:pPr>
            <w:r w:rsidRPr="00CF2BFA">
              <w:rPr>
                <w:b/>
                <w:bCs/>
              </w:rPr>
              <w:t>Deliverable</w:t>
            </w:r>
          </w:p>
        </w:tc>
        <w:tc>
          <w:tcPr>
            <w:tcW w:w="4672" w:type="dxa"/>
          </w:tcPr>
          <w:p w14:paraId="06A64A9B" w14:textId="77777777" w:rsidR="001F4219" w:rsidRPr="00CF2BFA" w:rsidRDefault="001F4219" w:rsidP="00AB5798">
            <w:pPr>
              <w:jc w:val="center"/>
              <w:rPr>
                <w:b/>
                <w:bCs/>
              </w:rPr>
            </w:pPr>
            <w:r>
              <w:rPr>
                <w:b/>
                <w:bCs/>
              </w:rPr>
              <w:t>Activity</w:t>
            </w:r>
          </w:p>
        </w:tc>
        <w:tc>
          <w:tcPr>
            <w:tcW w:w="3209" w:type="dxa"/>
          </w:tcPr>
          <w:p w14:paraId="3488D016" w14:textId="77777777" w:rsidR="001F4219" w:rsidRPr="00CF2BFA" w:rsidRDefault="001F4219" w:rsidP="00AB5798">
            <w:pPr>
              <w:jc w:val="center"/>
              <w:rPr>
                <w:b/>
                <w:bCs/>
              </w:rPr>
            </w:pPr>
            <w:r w:rsidRPr="00CF2BFA">
              <w:rPr>
                <w:b/>
                <w:bCs/>
              </w:rPr>
              <w:t>Deadline</w:t>
            </w:r>
          </w:p>
        </w:tc>
        <w:tc>
          <w:tcPr>
            <w:tcW w:w="1418" w:type="dxa"/>
          </w:tcPr>
          <w:p w14:paraId="7FA3A32C" w14:textId="77777777" w:rsidR="001F4219" w:rsidRPr="00CF2BFA" w:rsidRDefault="001F4219" w:rsidP="00AB5798">
            <w:pPr>
              <w:jc w:val="center"/>
              <w:rPr>
                <w:b/>
                <w:bCs/>
              </w:rPr>
            </w:pPr>
            <w:r>
              <w:rPr>
                <w:b/>
                <w:bCs/>
              </w:rPr>
              <w:t>Quantity</w:t>
            </w:r>
          </w:p>
        </w:tc>
      </w:tr>
      <w:tr w:rsidR="001F4219" w14:paraId="29A7CAF5" w14:textId="77777777" w:rsidTr="00AB5798">
        <w:trPr>
          <w:trHeight w:val="684"/>
        </w:trPr>
        <w:tc>
          <w:tcPr>
            <w:tcW w:w="1749" w:type="dxa"/>
          </w:tcPr>
          <w:p w14:paraId="7B0A9369" w14:textId="77777777" w:rsidR="001F4219" w:rsidRPr="001F4219" w:rsidRDefault="001F4219" w:rsidP="00AB5798">
            <w:pPr>
              <w:rPr>
                <w:rFonts w:cstheme="minorHAnsi"/>
              </w:rPr>
            </w:pPr>
            <w:r w:rsidRPr="001F4219">
              <w:rPr>
                <w:rFonts w:cstheme="minorHAnsi"/>
              </w:rPr>
              <w:t xml:space="preserve">Deliverable – </w:t>
            </w:r>
            <w:r w:rsidRPr="001F4219">
              <w:rPr>
                <w:rFonts w:cstheme="minorHAnsi"/>
                <w:rtl/>
              </w:rPr>
              <w:t>1</w:t>
            </w:r>
          </w:p>
        </w:tc>
        <w:tc>
          <w:tcPr>
            <w:tcW w:w="4672" w:type="dxa"/>
          </w:tcPr>
          <w:p w14:paraId="5FC60E24" w14:textId="77777777" w:rsidR="001F4219" w:rsidRDefault="001F4219" w:rsidP="00AB5798">
            <w:r>
              <w:t>Synchronous Meeting (Comm. roll-out)</w:t>
            </w:r>
          </w:p>
        </w:tc>
        <w:tc>
          <w:tcPr>
            <w:tcW w:w="3209" w:type="dxa"/>
          </w:tcPr>
          <w:p w14:paraId="4C19639A" w14:textId="77777777" w:rsidR="001F4219" w:rsidRDefault="001F4219" w:rsidP="00AB5798">
            <w:r>
              <w:t>Q3 2024</w:t>
            </w:r>
          </w:p>
        </w:tc>
        <w:tc>
          <w:tcPr>
            <w:tcW w:w="1418" w:type="dxa"/>
          </w:tcPr>
          <w:p w14:paraId="050EF3B3" w14:textId="77777777" w:rsidR="001F4219" w:rsidRDefault="001F4219" w:rsidP="00AB5798">
            <w:pPr>
              <w:jc w:val="center"/>
            </w:pPr>
            <w:r>
              <w:t>1</w:t>
            </w:r>
          </w:p>
        </w:tc>
      </w:tr>
      <w:tr w:rsidR="001F4219" w14:paraId="79B90E9C" w14:textId="77777777" w:rsidTr="00AB5798">
        <w:trPr>
          <w:trHeight w:val="589"/>
        </w:trPr>
        <w:tc>
          <w:tcPr>
            <w:tcW w:w="1749" w:type="dxa"/>
          </w:tcPr>
          <w:p w14:paraId="2521E3EF" w14:textId="77777777" w:rsidR="001F4219" w:rsidRPr="001F4219" w:rsidRDefault="001F4219" w:rsidP="00AB5798">
            <w:pPr>
              <w:rPr>
                <w:rFonts w:cstheme="minorHAnsi"/>
              </w:rPr>
            </w:pPr>
            <w:r w:rsidRPr="001F4219">
              <w:rPr>
                <w:rFonts w:cstheme="minorHAnsi"/>
              </w:rPr>
              <w:t xml:space="preserve">Deliverable – </w:t>
            </w:r>
            <w:r w:rsidRPr="001F4219">
              <w:rPr>
                <w:rFonts w:cstheme="minorHAnsi"/>
                <w:rtl/>
              </w:rPr>
              <w:t>2</w:t>
            </w:r>
          </w:p>
        </w:tc>
        <w:tc>
          <w:tcPr>
            <w:tcW w:w="4672" w:type="dxa"/>
          </w:tcPr>
          <w:p w14:paraId="203213E1" w14:textId="77777777" w:rsidR="001F4219" w:rsidRDefault="001F4219" w:rsidP="00AB5798">
            <w:r>
              <w:t>Media Engagement (Media working group, Gender-Responsive Journalism Training, Public Relations, and Media exposure)</w:t>
            </w:r>
          </w:p>
        </w:tc>
        <w:tc>
          <w:tcPr>
            <w:tcW w:w="3209" w:type="dxa"/>
          </w:tcPr>
          <w:p w14:paraId="3C31603A" w14:textId="77777777" w:rsidR="001F4219" w:rsidRDefault="001F4219" w:rsidP="00AB5798">
            <w:r>
              <w:t>Q3 2024, media exposure till the end of 2025</w:t>
            </w:r>
          </w:p>
        </w:tc>
        <w:tc>
          <w:tcPr>
            <w:tcW w:w="1418" w:type="dxa"/>
          </w:tcPr>
          <w:p w14:paraId="4D456178" w14:textId="77777777" w:rsidR="001F4219" w:rsidRDefault="001F4219" w:rsidP="00AB5798">
            <w:pPr>
              <w:jc w:val="center"/>
            </w:pPr>
            <w:r>
              <w:t>1</w:t>
            </w:r>
          </w:p>
        </w:tc>
      </w:tr>
      <w:tr w:rsidR="001F4219" w14:paraId="44A0457B" w14:textId="77777777" w:rsidTr="00AB5798">
        <w:trPr>
          <w:trHeight w:val="589"/>
        </w:trPr>
        <w:tc>
          <w:tcPr>
            <w:tcW w:w="1749" w:type="dxa"/>
          </w:tcPr>
          <w:p w14:paraId="4B726497" w14:textId="77777777" w:rsidR="001F4219" w:rsidRPr="001F4219" w:rsidRDefault="001F4219" w:rsidP="00AB5798">
            <w:pPr>
              <w:rPr>
                <w:rFonts w:cstheme="minorHAnsi"/>
              </w:rPr>
            </w:pPr>
            <w:r w:rsidRPr="001F4219">
              <w:rPr>
                <w:rFonts w:cstheme="minorHAnsi"/>
              </w:rPr>
              <w:t>Deliverable – 3</w:t>
            </w:r>
          </w:p>
        </w:tc>
        <w:tc>
          <w:tcPr>
            <w:tcW w:w="4672" w:type="dxa"/>
          </w:tcPr>
          <w:p w14:paraId="7E89E0AC" w14:textId="77777777" w:rsidR="001F4219" w:rsidRDefault="001F4219" w:rsidP="00AB5798">
            <w:r>
              <w:t>Short Videos</w:t>
            </w:r>
          </w:p>
        </w:tc>
        <w:tc>
          <w:tcPr>
            <w:tcW w:w="3209" w:type="dxa"/>
          </w:tcPr>
          <w:p w14:paraId="0A7D354D" w14:textId="77777777" w:rsidR="001F4219" w:rsidRDefault="001F4219" w:rsidP="00AB5798">
            <w:r>
              <w:t>Two in Q3 2024 and two in Q3 2025</w:t>
            </w:r>
          </w:p>
        </w:tc>
        <w:tc>
          <w:tcPr>
            <w:tcW w:w="1418" w:type="dxa"/>
          </w:tcPr>
          <w:p w14:paraId="0072868B" w14:textId="77777777" w:rsidR="001F4219" w:rsidRDefault="001F4219" w:rsidP="00AB5798">
            <w:pPr>
              <w:jc w:val="center"/>
            </w:pPr>
            <w:r>
              <w:t>4</w:t>
            </w:r>
          </w:p>
        </w:tc>
      </w:tr>
      <w:tr w:rsidR="001F4219" w14:paraId="78DAD12D" w14:textId="77777777" w:rsidTr="00AB5798">
        <w:trPr>
          <w:trHeight w:val="589"/>
        </w:trPr>
        <w:tc>
          <w:tcPr>
            <w:tcW w:w="1749" w:type="dxa"/>
          </w:tcPr>
          <w:p w14:paraId="5396685C" w14:textId="77777777" w:rsidR="001F4219" w:rsidRPr="001F4219" w:rsidRDefault="001F4219" w:rsidP="00AB5798">
            <w:pPr>
              <w:rPr>
                <w:rFonts w:cstheme="minorHAnsi"/>
              </w:rPr>
            </w:pPr>
            <w:r w:rsidRPr="001F4219">
              <w:rPr>
                <w:rFonts w:cstheme="minorHAnsi"/>
              </w:rPr>
              <w:t>Deliverable – 4</w:t>
            </w:r>
          </w:p>
        </w:tc>
        <w:tc>
          <w:tcPr>
            <w:tcW w:w="4672" w:type="dxa"/>
          </w:tcPr>
          <w:p w14:paraId="4C2E6D35" w14:textId="77777777" w:rsidR="001F4219" w:rsidRDefault="001F4219" w:rsidP="00AB5798">
            <w:r>
              <w:t>WPS Photo Gallery</w:t>
            </w:r>
          </w:p>
        </w:tc>
        <w:tc>
          <w:tcPr>
            <w:tcW w:w="3209" w:type="dxa"/>
          </w:tcPr>
          <w:p w14:paraId="2C2077A7" w14:textId="77777777" w:rsidR="001F4219" w:rsidRDefault="001F4219" w:rsidP="00AB5798">
            <w:r>
              <w:t>Q4 2024 to Q4 2025</w:t>
            </w:r>
          </w:p>
        </w:tc>
        <w:tc>
          <w:tcPr>
            <w:tcW w:w="1418" w:type="dxa"/>
          </w:tcPr>
          <w:p w14:paraId="749AFCA2" w14:textId="77777777" w:rsidR="001F4219" w:rsidRDefault="001F4219" w:rsidP="00AB5798">
            <w:pPr>
              <w:jc w:val="center"/>
            </w:pPr>
            <w:r>
              <w:t>1</w:t>
            </w:r>
          </w:p>
        </w:tc>
      </w:tr>
      <w:tr w:rsidR="001F4219" w14:paraId="614B8122" w14:textId="77777777" w:rsidTr="00AB5798">
        <w:trPr>
          <w:trHeight w:val="589"/>
        </w:trPr>
        <w:tc>
          <w:tcPr>
            <w:tcW w:w="1749" w:type="dxa"/>
          </w:tcPr>
          <w:p w14:paraId="7D97B523" w14:textId="77777777" w:rsidR="001F4219" w:rsidRPr="001F4219" w:rsidRDefault="001F4219" w:rsidP="00AB5798">
            <w:pPr>
              <w:rPr>
                <w:rFonts w:cstheme="minorHAnsi"/>
              </w:rPr>
            </w:pPr>
            <w:r w:rsidRPr="001F4219">
              <w:rPr>
                <w:rFonts w:cstheme="minorHAnsi"/>
              </w:rPr>
              <w:t>Deliverable – 5</w:t>
            </w:r>
          </w:p>
        </w:tc>
        <w:tc>
          <w:tcPr>
            <w:tcW w:w="4672" w:type="dxa"/>
          </w:tcPr>
          <w:p w14:paraId="400D016B" w14:textId="77777777" w:rsidR="001F4219" w:rsidRDefault="001F4219" w:rsidP="00AB5798">
            <w:r>
              <w:t>Annual Forum</w:t>
            </w:r>
          </w:p>
        </w:tc>
        <w:tc>
          <w:tcPr>
            <w:tcW w:w="3209" w:type="dxa"/>
          </w:tcPr>
          <w:p w14:paraId="4DFC2988" w14:textId="77777777" w:rsidR="001F4219" w:rsidRDefault="001F4219" w:rsidP="00AB5798">
            <w:r>
              <w:t>Q4 2024 and Q4 2025</w:t>
            </w:r>
          </w:p>
        </w:tc>
        <w:tc>
          <w:tcPr>
            <w:tcW w:w="1418" w:type="dxa"/>
          </w:tcPr>
          <w:p w14:paraId="5DD22111" w14:textId="77777777" w:rsidR="001F4219" w:rsidRDefault="001F4219" w:rsidP="00AB5798">
            <w:pPr>
              <w:jc w:val="center"/>
            </w:pPr>
          </w:p>
        </w:tc>
      </w:tr>
      <w:tr w:rsidR="001F4219" w14:paraId="4E2AAB99" w14:textId="77777777" w:rsidTr="00AB5798">
        <w:trPr>
          <w:trHeight w:val="589"/>
        </w:trPr>
        <w:tc>
          <w:tcPr>
            <w:tcW w:w="1749" w:type="dxa"/>
          </w:tcPr>
          <w:p w14:paraId="28A5EE23" w14:textId="77777777" w:rsidR="001F4219" w:rsidRPr="001F4219" w:rsidRDefault="001F4219" w:rsidP="00AB5798">
            <w:pPr>
              <w:rPr>
                <w:rFonts w:cstheme="minorHAnsi"/>
              </w:rPr>
            </w:pPr>
            <w:r w:rsidRPr="001F4219">
              <w:t>Deliverable – 6</w:t>
            </w:r>
          </w:p>
        </w:tc>
        <w:tc>
          <w:tcPr>
            <w:tcW w:w="4672" w:type="dxa"/>
          </w:tcPr>
          <w:p w14:paraId="00AD8711" w14:textId="77777777" w:rsidR="001F4219" w:rsidRDefault="001F4219" w:rsidP="00AB5798">
            <w:r>
              <w:t>Capacity Building (Youth engagement in four universities)</w:t>
            </w:r>
          </w:p>
        </w:tc>
        <w:tc>
          <w:tcPr>
            <w:tcW w:w="3209" w:type="dxa"/>
          </w:tcPr>
          <w:p w14:paraId="1C233C31" w14:textId="77777777" w:rsidR="001F4219" w:rsidRDefault="001F4219" w:rsidP="00AB5798">
            <w:r>
              <w:t>Two in Q2 and two in Q3 2025</w:t>
            </w:r>
          </w:p>
        </w:tc>
        <w:tc>
          <w:tcPr>
            <w:tcW w:w="1418" w:type="dxa"/>
          </w:tcPr>
          <w:p w14:paraId="0EC8F34E" w14:textId="77777777" w:rsidR="001F4219" w:rsidRDefault="001F4219" w:rsidP="00AB5798">
            <w:pPr>
              <w:jc w:val="center"/>
            </w:pPr>
            <w:r>
              <w:t>4</w:t>
            </w:r>
          </w:p>
        </w:tc>
      </w:tr>
      <w:tr w:rsidR="001F4219" w14:paraId="3384BE30" w14:textId="77777777" w:rsidTr="00AB5798">
        <w:trPr>
          <w:trHeight w:val="589"/>
        </w:trPr>
        <w:tc>
          <w:tcPr>
            <w:tcW w:w="1749" w:type="dxa"/>
          </w:tcPr>
          <w:p w14:paraId="5605EDE0" w14:textId="77777777" w:rsidR="001F4219" w:rsidRPr="001F4219" w:rsidRDefault="001F4219" w:rsidP="00AB5798">
            <w:r w:rsidRPr="001F4219">
              <w:t>Deliverable – 7</w:t>
            </w:r>
          </w:p>
        </w:tc>
        <w:tc>
          <w:tcPr>
            <w:tcW w:w="4672" w:type="dxa"/>
          </w:tcPr>
          <w:p w14:paraId="3C839214" w14:textId="77777777" w:rsidR="001F4219" w:rsidRDefault="001F4219" w:rsidP="00AB5798">
            <w:r>
              <w:t>Community Awareness Campaign (social media)</w:t>
            </w:r>
          </w:p>
        </w:tc>
        <w:tc>
          <w:tcPr>
            <w:tcW w:w="3209" w:type="dxa"/>
          </w:tcPr>
          <w:p w14:paraId="1E87CBBB" w14:textId="77777777" w:rsidR="001F4219" w:rsidRDefault="001F4219" w:rsidP="00AB5798">
            <w:r>
              <w:t>Q3 to Q4 2025</w:t>
            </w:r>
          </w:p>
        </w:tc>
        <w:tc>
          <w:tcPr>
            <w:tcW w:w="1418" w:type="dxa"/>
          </w:tcPr>
          <w:p w14:paraId="5A9F7CD4" w14:textId="77777777" w:rsidR="001F4219" w:rsidRDefault="001F4219" w:rsidP="00AB5798">
            <w:pPr>
              <w:jc w:val="center"/>
            </w:pPr>
            <w:r>
              <w:t>1</w:t>
            </w:r>
          </w:p>
        </w:tc>
      </w:tr>
    </w:tbl>
    <w:p w14:paraId="02A30803" w14:textId="2F90639D" w:rsidR="001F4219" w:rsidRDefault="001F4219" w:rsidP="0041786D">
      <w:pPr>
        <w:rPr>
          <w:b/>
          <w:bCs/>
        </w:rPr>
      </w:pPr>
    </w:p>
    <w:p w14:paraId="514A4F7B" w14:textId="77777777" w:rsidR="001F4219" w:rsidRDefault="001F4219">
      <w:pPr>
        <w:rPr>
          <w:b/>
          <w:bCs/>
        </w:rPr>
      </w:pPr>
      <w:r>
        <w:rPr>
          <w:b/>
          <w:bCs/>
        </w:rPr>
        <w:br w:type="page"/>
      </w:r>
    </w:p>
    <w:p w14:paraId="0F5AF5B2" w14:textId="12C661A2" w:rsidR="001F4219" w:rsidRPr="00051704" w:rsidRDefault="001F4219" w:rsidP="0041786D">
      <w:pPr>
        <w:rPr>
          <w:b/>
          <w:bCs/>
        </w:rPr>
      </w:pPr>
      <w:r>
        <w:rPr>
          <w:b/>
          <w:bCs/>
        </w:rPr>
        <w:lastRenderedPageBreak/>
        <w:t>Details of deliverables (Activities):</w:t>
      </w:r>
    </w:p>
    <w:tbl>
      <w:tblPr>
        <w:tblW w:w="1214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3060"/>
        <w:gridCol w:w="2340"/>
        <w:gridCol w:w="3240"/>
        <w:gridCol w:w="3060"/>
      </w:tblGrid>
      <w:tr w:rsidR="006B6001" w:rsidRPr="00051704" w14:paraId="0349BB42" w14:textId="77777777" w:rsidTr="006B6001">
        <w:trPr>
          <w:trHeight w:val="378"/>
        </w:trPr>
        <w:tc>
          <w:tcPr>
            <w:tcW w:w="449" w:type="dxa"/>
            <w:shd w:val="clear" w:color="auto" w:fill="auto"/>
            <w:vAlign w:val="center"/>
          </w:tcPr>
          <w:p w14:paraId="1901AC90" w14:textId="77777777" w:rsidR="006B6001" w:rsidRPr="00051704" w:rsidRDefault="006B6001" w:rsidP="00051704">
            <w:pPr>
              <w:rPr>
                <w:b/>
              </w:rPr>
            </w:pPr>
            <w:r w:rsidRPr="00051704">
              <w:rPr>
                <w:b/>
              </w:rPr>
              <w:t>#</w:t>
            </w:r>
          </w:p>
        </w:tc>
        <w:tc>
          <w:tcPr>
            <w:tcW w:w="3060" w:type="dxa"/>
            <w:shd w:val="clear" w:color="auto" w:fill="auto"/>
            <w:vAlign w:val="center"/>
          </w:tcPr>
          <w:p w14:paraId="4043E4BE" w14:textId="77777777" w:rsidR="006B6001" w:rsidRPr="00051704" w:rsidRDefault="006B6001" w:rsidP="00051704">
            <w:pPr>
              <w:rPr>
                <w:b/>
              </w:rPr>
            </w:pPr>
            <w:r w:rsidRPr="00051704">
              <w:rPr>
                <w:b/>
              </w:rPr>
              <w:t xml:space="preserve">Objectives </w:t>
            </w:r>
          </w:p>
        </w:tc>
        <w:tc>
          <w:tcPr>
            <w:tcW w:w="2340" w:type="dxa"/>
            <w:shd w:val="clear" w:color="auto" w:fill="auto"/>
            <w:vAlign w:val="center"/>
          </w:tcPr>
          <w:p w14:paraId="4D7A2CE3" w14:textId="77777777" w:rsidR="006B6001" w:rsidRPr="00051704" w:rsidRDefault="006B6001" w:rsidP="00051704">
            <w:pPr>
              <w:rPr>
                <w:b/>
              </w:rPr>
            </w:pPr>
            <w:r w:rsidRPr="00051704">
              <w:rPr>
                <w:b/>
              </w:rPr>
              <w:t>Target Audience</w:t>
            </w:r>
          </w:p>
        </w:tc>
        <w:tc>
          <w:tcPr>
            <w:tcW w:w="3240" w:type="dxa"/>
            <w:shd w:val="clear" w:color="auto" w:fill="E7E6E6" w:themeFill="background2"/>
            <w:vAlign w:val="center"/>
          </w:tcPr>
          <w:p w14:paraId="6318D2F6" w14:textId="77777777" w:rsidR="006B6001" w:rsidRPr="00051704" w:rsidRDefault="006B6001" w:rsidP="00051704">
            <w:pPr>
              <w:rPr>
                <w:b/>
              </w:rPr>
            </w:pPr>
            <w:r w:rsidRPr="00B55CB9">
              <w:rPr>
                <w:b/>
                <w:highlight w:val="lightGray"/>
              </w:rPr>
              <w:t>Activity</w:t>
            </w:r>
          </w:p>
        </w:tc>
        <w:tc>
          <w:tcPr>
            <w:tcW w:w="3060" w:type="dxa"/>
            <w:shd w:val="clear" w:color="auto" w:fill="auto"/>
            <w:vAlign w:val="center"/>
          </w:tcPr>
          <w:p w14:paraId="4A6200AE" w14:textId="77777777" w:rsidR="006B6001" w:rsidRPr="00051704" w:rsidRDefault="006B6001" w:rsidP="00051704">
            <w:pPr>
              <w:rPr>
                <w:b/>
                <w:bCs/>
              </w:rPr>
            </w:pPr>
            <w:r w:rsidRPr="00051704">
              <w:rPr>
                <w:b/>
                <w:bCs/>
              </w:rPr>
              <w:t>Timeframe</w:t>
            </w:r>
          </w:p>
        </w:tc>
      </w:tr>
      <w:tr w:rsidR="006B6001" w:rsidRPr="00051704" w14:paraId="225C6E5E" w14:textId="77777777" w:rsidTr="006B6001">
        <w:trPr>
          <w:trHeight w:val="58"/>
        </w:trPr>
        <w:tc>
          <w:tcPr>
            <w:tcW w:w="449" w:type="dxa"/>
            <w:shd w:val="clear" w:color="auto" w:fill="auto"/>
            <w:vAlign w:val="center"/>
          </w:tcPr>
          <w:p w14:paraId="3EA17837" w14:textId="77777777" w:rsidR="006B6001" w:rsidRPr="00051704" w:rsidRDefault="006B6001" w:rsidP="00051704">
            <w:pPr>
              <w:rPr>
                <w:b/>
              </w:rPr>
            </w:pPr>
          </w:p>
          <w:p w14:paraId="538DBA63" w14:textId="77777777" w:rsidR="006B6001" w:rsidRPr="00051704" w:rsidRDefault="006B6001" w:rsidP="00051704">
            <w:pPr>
              <w:rPr>
                <w:b/>
              </w:rPr>
            </w:pPr>
          </w:p>
          <w:p w14:paraId="7F3441BA" w14:textId="77777777" w:rsidR="006B6001" w:rsidRPr="00051704" w:rsidRDefault="006B6001" w:rsidP="00051704">
            <w:pPr>
              <w:rPr>
                <w:b/>
              </w:rPr>
            </w:pPr>
            <w:r w:rsidRPr="00051704">
              <w:rPr>
                <w:b/>
              </w:rPr>
              <w:t>1</w:t>
            </w:r>
          </w:p>
        </w:tc>
        <w:tc>
          <w:tcPr>
            <w:tcW w:w="3060" w:type="dxa"/>
            <w:shd w:val="clear" w:color="auto" w:fill="auto"/>
            <w:vAlign w:val="center"/>
          </w:tcPr>
          <w:p w14:paraId="43FA3603" w14:textId="77777777" w:rsidR="006B6001" w:rsidRPr="00051704" w:rsidRDefault="006B6001" w:rsidP="00051704">
            <w:pPr>
              <w:rPr>
                <w:bCs/>
              </w:rPr>
            </w:pPr>
            <w:r w:rsidRPr="00051704">
              <w:rPr>
                <w:b/>
              </w:rPr>
              <w:t xml:space="preserve">- </w:t>
            </w:r>
            <w:r w:rsidRPr="00051704">
              <w:rPr>
                <w:bCs/>
              </w:rPr>
              <w:t>Highlighting the achievements of women in prominent roles, including the diplomatic and justice sectors.</w:t>
            </w:r>
          </w:p>
          <w:p w14:paraId="70F6EC93" w14:textId="1C5F9D23" w:rsidR="006B6001" w:rsidRPr="00051704" w:rsidRDefault="006B6001" w:rsidP="00051704">
            <w:pPr>
              <w:rPr>
                <w:bCs/>
              </w:rPr>
            </w:pPr>
            <w:r w:rsidRPr="00051704">
              <w:rPr>
                <w:b/>
              </w:rPr>
              <w:t xml:space="preserve">- </w:t>
            </w:r>
            <w:r w:rsidRPr="00051704">
              <w:rPr>
                <w:bCs/>
              </w:rPr>
              <w:t xml:space="preserve">Encouraging greater media coverage on the role of women in preventing and responding to various crises and broadening the </w:t>
            </w:r>
            <w:r>
              <w:rPr>
                <w:bCs/>
              </w:rPr>
              <w:t>message's reach</w:t>
            </w:r>
            <w:r w:rsidRPr="00051704">
              <w:rPr>
                <w:bCs/>
              </w:rPr>
              <w:t xml:space="preserve"> to communities outside key urban locations.</w:t>
            </w:r>
          </w:p>
          <w:p w14:paraId="4BDEBB4A" w14:textId="77777777" w:rsidR="006B6001" w:rsidRPr="00051704" w:rsidRDefault="006B6001" w:rsidP="00051704">
            <w:pPr>
              <w:rPr>
                <w:bCs/>
              </w:rPr>
            </w:pPr>
            <w:r w:rsidRPr="00051704">
              <w:rPr>
                <w:b/>
              </w:rPr>
              <w:t>-</w:t>
            </w:r>
            <w:r w:rsidRPr="00051704">
              <w:rPr>
                <w:bCs/>
              </w:rPr>
              <w:t xml:space="preserve"> Empowering young women to pursue careers in the peace, security, diplomatic, and justice sectors through messages that combat misogyny, gender inequality, and harmful norms.</w:t>
            </w:r>
          </w:p>
          <w:p w14:paraId="3AC3D156" w14:textId="77777777" w:rsidR="006B6001" w:rsidRPr="00051704" w:rsidRDefault="006B6001" w:rsidP="00051704">
            <w:pPr>
              <w:rPr>
                <w:bCs/>
              </w:rPr>
            </w:pPr>
            <w:r w:rsidRPr="00051704">
              <w:rPr>
                <w:b/>
              </w:rPr>
              <w:t>-</w:t>
            </w:r>
            <w:r w:rsidRPr="00051704">
              <w:rPr>
                <w:bCs/>
              </w:rPr>
              <w:t xml:space="preserve"> Encouraging men’s engagement to combat gender-based discrimination and violence and promote men as gender champions, especially in the security sector.</w:t>
            </w:r>
          </w:p>
          <w:p w14:paraId="0542A6B7" w14:textId="77777777" w:rsidR="006B6001" w:rsidRPr="00051704" w:rsidRDefault="006B6001" w:rsidP="00051704">
            <w:r w:rsidRPr="00051704">
              <w:rPr>
                <w:b/>
              </w:rPr>
              <w:t>-</w:t>
            </w:r>
            <w:r w:rsidRPr="00051704">
              <w:rPr>
                <w:bCs/>
              </w:rPr>
              <w:t xml:space="preserve"> </w:t>
            </w:r>
            <w:r w:rsidRPr="00051704">
              <w:t>Highlighting the role/impact women have in preventing and responding to various crises and the unique gaps their participation addresses.</w:t>
            </w:r>
          </w:p>
        </w:tc>
        <w:tc>
          <w:tcPr>
            <w:tcW w:w="2340" w:type="dxa"/>
            <w:shd w:val="clear" w:color="auto" w:fill="auto"/>
            <w:vAlign w:val="center"/>
          </w:tcPr>
          <w:p w14:paraId="1B07FB49" w14:textId="77777777" w:rsidR="006B6001" w:rsidRPr="00051704" w:rsidRDefault="006B6001" w:rsidP="00051704">
            <w:pPr>
              <w:rPr>
                <w:bCs/>
              </w:rPr>
            </w:pPr>
            <w:r w:rsidRPr="00051704">
              <w:rPr>
                <w:bCs/>
              </w:rPr>
              <w:t>•Government officials, professionals, and decision-makers in the security, military, diplomatic, and justice sectors, including the United Nations.</w:t>
            </w:r>
          </w:p>
          <w:p w14:paraId="1C3FDCE3" w14:textId="77777777" w:rsidR="006B6001" w:rsidRPr="00051704" w:rsidRDefault="006B6001" w:rsidP="00051704">
            <w:pPr>
              <w:rPr>
                <w:bCs/>
              </w:rPr>
            </w:pPr>
            <w:r w:rsidRPr="00051704">
              <w:rPr>
                <w:bCs/>
              </w:rPr>
              <w:t>•Women leaders and women-led organizations and women in prominent roles</w:t>
            </w:r>
          </w:p>
          <w:p w14:paraId="5909C13D" w14:textId="77777777" w:rsidR="006B6001" w:rsidRPr="00051704" w:rsidRDefault="006B6001" w:rsidP="00051704">
            <w:pPr>
              <w:rPr>
                <w:bCs/>
              </w:rPr>
            </w:pPr>
            <w:r w:rsidRPr="00051704">
              <w:rPr>
                <w:bCs/>
              </w:rPr>
              <w:t>•Social media/opinion influencers.</w:t>
            </w:r>
          </w:p>
          <w:p w14:paraId="664713A7" w14:textId="77777777" w:rsidR="006B6001" w:rsidRPr="00051704" w:rsidRDefault="006B6001" w:rsidP="00051704">
            <w:pPr>
              <w:rPr>
                <w:bCs/>
              </w:rPr>
            </w:pPr>
            <w:r w:rsidRPr="00051704">
              <w:rPr>
                <w:bCs/>
              </w:rPr>
              <w:t>•Policy and decision makers.</w:t>
            </w:r>
          </w:p>
          <w:p w14:paraId="4FC9ED58" w14:textId="77777777" w:rsidR="006B6001" w:rsidRPr="00051704" w:rsidRDefault="006B6001" w:rsidP="00051704">
            <w:pPr>
              <w:rPr>
                <w:bCs/>
              </w:rPr>
            </w:pPr>
            <w:r w:rsidRPr="00051704">
              <w:rPr>
                <w:bCs/>
              </w:rPr>
              <w:t>•Media professionals, journalists and media outlets.</w:t>
            </w:r>
          </w:p>
          <w:p w14:paraId="10A33698" w14:textId="77777777" w:rsidR="006B6001" w:rsidRPr="00051704" w:rsidRDefault="006B6001" w:rsidP="00051704">
            <w:pPr>
              <w:rPr>
                <w:bCs/>
              </w:rPr>
            </w:pPr>
            <w:r w:rsidRPr="00051704">
              <w:rPr>
                <w:bCs/>
              </w:rPr>
              <w:t>•Adolescent girls and young women.</w:t>
            </w:r>
          </w:p>
          <w:p w14:paraId="60720EBA" w14:textId="77777777" w:rsidR="006B6001" w:rsidRPr="00051704" w:rsidRDefault="006B6001" w:rsidP="00051704">
            <w:pPr>
              <w:rPr>
                <w:bCs/>
              </w:rPr>
            </w:pPr>
            <w:r w:rsidRPr="00051704">
              <w:rPr>
                <w:bCs/>
              </w:rPr>
              <w:t>•Women and girls from marginalized groups.</w:t>
            </w:r>
          </w:p>
          <w:p w14:paraId="12ABE78A" w14:textId="77777777" w:rsidR="006B6001" w:rsidRPr="00051704" w:rsidRDefault="006B6001" w:rsidP="00051704">
            <w:pPr>
              <w:rPr>
                <w:bCs/>
              </w:rPr>
            </w:pPr>
            <w:r w:rsidRPr="00051704">
              <w:rPr>
                <w:bCs/>
              </w:rPr>
              <w:t>•Civil society organizations (CSOs).</w:t>
            </w:r>
          </w:p>
          <w:p w14:paraId="67DE572C" w14:textId="77777777" w:rsidR="006B6001" w:rsidRPr="00051704" w:rsidRDefault="006B6001" w:rsidP="00051704">
            <w:pPr>
              <w:rPr>
                <w:bCs/>
              </w:rPr>
            </w:pPr>
            <w:r w:rsidRPr="00051704">
              <w:rPr>
                <w:bCs/>
              </w:rPr>
              <w:t>•Religious and community leaders</w:t>
            </w:r>
          </w:p>
          <w:p w14:paraId="57C31C1C" w14:textId="77777777" w:rsidR="006B6001" w:rsidRPr="00051704" w:rsidRDefault="006B6001" w:rsidP="00051704">
            <w:pPr>
              <w:rPr>
                <w:bCs/>
              </w:rPr>
            </w:pPr>
            <w:r w:rsidRPr="00051704">
              <w:rPr>
                <w:bCs/>
              </w:rPr>
              <w:lastRenderedPageBreak/>
              <w:t>•Men and boys.</w:t>
            </w:r>
          </w:p>
        </w:tc>
        <w:tc>
          <w:tcPr>
            <w:tcW w:w="3240" w:type="dxa"/>
            <w:tcBorders>
              <w:right w:val="single" w:sz="4" w:space="0" w:color="auto"/>
            </w:tcBorders>
            <w:shd w:val="clear" w:color="auto" w:fill="E7E6E6" w:themeFill="background2"/>
            <w:vAlign w:val="center"/>
          </w:tcPr>
          <w:p w14:paraId="731A31F0" w14:textId="77777777" w:rsidR="006B6001" w:rsidRPr="00051704" w:rsidRDefault="006B6001" w:rsidP="00051704">
            <w:r w:rsidRPr="00051704">
              <w:rPr>
                <w:b/>
              </w:rPr>
              <w:lastRenderedPageBreak/>
              <w:t xml:space="preserve">- </w:t>
            </w:r>
            <w:r w:rsidRPr="00B55CB9">
              <w:rPr>
                <w:b/>
                <w:highlight w:val="lightGray"/>
              </w:rPr>
              <w:t>Two Annual Forums</w:t>
            </w:r>
            <w:r w:rsidRPr="00B55CB9">
              <w:rPr>
                <w:bCs/>
                <w:highlight w:val="lightGray"/>
              </w:rPr>
              <w:t>:</w:t>
            </w:r>
            <w:r w:rsidRPr="00051704">
              <w:rPr>
                <w:bCs/>
              </w:rPr>
              <w:t xml:space="preserve"> Arrange two annual forums, one in 2024 and one in 2025. These forums will be dedicated to disseminating information pertaining to the project and the Jordanian National Commission for Women JNCW. They will provide a platform for sharing diverse perspectives, showcasing personal and professional success stories, and highlighting best practices that align with the project's objectives and bolster our efforts.</w:t>
            </w:r>
          </w:p>
        </w:tc>
        <w:tc>
          <w:tcPr>
            <w:tcW w:w="3060" w:type="dxa"/>
            <w:tcBorders>
              <w:right w:val="single" w:sz="4" w:space="0" w:color="auto"/>
            </w:tcBorders>
            <w:shd w:val="clear" w:color="auto" w:fill="auto"/>
            <w:vAlign w:val="center"/>
          </w:tcPr>
          <w:p w14:paraId="4EFAC73D" w14:textId="77777777" w:rsidR="006B6001" w:rsidRPr="00051704" w:rsidRDefault="006B6001" w:rsidP="00051704">
            <w:pPr>
              <w:rPr>
                <w:bCs/>
              </w:rPr>
            </w:pPr>
            <w:r w:rsidRPr="00051704">
              <w:rPr>
                <w:bCs/>
              </w:rPr>
              <w:t>-The first Annual Forum in Oct Q4 2024</w:t>
            </w:r>
          </w:p>
          <w:p w14:paraId="05BA3D2A" w14:textId="77777777" w:rsidR="006B6001" w:rsidRPr="00051704" w:rsidRDefault="006B6001" w:rsidP="00051704">
            <w:pPr>
              <w:rPr>
                <w:bCs/>
              </w:rPr>
            </w:pPr>
          </w:p>
          <w:p w14:paraId="54C92B1B" w14:textId="77777777" w:rsidR="006B6001" w:rsidRPr="00051704" w:rsidRDefault="006B6001" w:rsidP="00051704">
            <w:pPr>
              <w:rPr>
                <w:bCs/>
              </w:rPr>
            </w:pPr>
            <w:r w:rsidRPr="00051704">
              <w:rPr>
                <w:bCs/>
              </w:rPr>
              <w:t>- The second annual forum in Oct Q4 2025</w:t>
            </w:r>
          </w:p>
        </w:tc>
      </w:tr>
    </w:tbl>
    <w:p w14:paraId="679C2F4A" w14:textId="77777777" w:rsidR="00051704" w:rsidRPr="00051704" w:rsidRDefault="00051704" w:rsidP="00051704">
      <w:pPr>
        <w:sectPr w:rsidR="00051704" w:rsidRPr="00051704">
          <w:headerReference w:type="default" r:id="rId9"/>
          <w:footerReference w:type="default" r:id="rId10"/>
          <w:pgSz w:w="15840" w:h="12240" w:orient="landscape"/>
          <w:pgMar w:top="1340" w:right="500" w:bottom="920" w:left="520" w:header="776" w:footer="739" w:gutter="0"/>
          <w:cols w:space="720"/>
        </w:sectPr>
      </w:pPr>
    </w:p>
    <w:p w14:paraId="6DCF2609" w14:textId="77777777" w:rsidR="00051704" w:rsidRPr="00051704" w:rsidRDefault="00051704" w:rsidP="00051704">
      <w:pPr>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
        <w:gridCol w:w="3060"/>
        <w:gridCol w:w="2610"/>
        <w:gridCol w:w="2880"/>
        <w:gridCol w:w="2430"/>
      </w:tblGrid>
      <w:tr w:rsidR="006B6001" w:rsidRPr="00051704" w14:paraId="602EF317" w14:textId="77777777" w:rsidTr="00030BF3">
        <w:trPr>
          <w:trHeight w:val="882"/>
        </w:trPr>
        <w:tc>
          <w:tcPr>
            <w:tcW w:w="507" w:type="dxa"/>
            <w:shd w:val="clear" w:color="auto" w:fill="auto"/>
            <w:vAlign w:val="center"/>
          </w:tcPr>
          <w:p w14:paraId="3EF326A6" w14:textId="77777777" w:rsidR="006B6001" w:rsidRPr="00051704" w:rsidRDefault="006B6001" w:rsidP="00051704">
            <w:pPr>
              <w:rPr>
                <w:b/>
              </w:rPr>
            </w:pPr>
          </w:p>
          <w:p w14:paraId="111E800E" w14:textId="77777777" w:rsidR="006B6001" w:rsidRPr="00051704" w:rsidRDefault="006B6001" w:rsidP="00051704">
            <w:pPr>
              <w:rPr>
                <w:b/>
              </w:rPr>
            </w:pPr>
          </w:p>
          <w:p w14:paraId="5A235314" w14:textId="77777777" w:rsidR="006B6001" w:rsidRPr="00051704" w:rsidRDefault="006B6001" w:rsidP="00051704">
            <w:pPr>
              <w:rPr>
                <w:b/>
              </w:rPr>
            </w:pPr>
          </w:p>
          <w:p w14:paraId="183716BC" w14:textId="77777777" w:rsidR="006B6001" w:rsidRPr="00051704" w:rsidRDefault="006B6001" w:rsidP="00051704">
            <w:pPr>
              <w:rPr>
                <w:b/>
              </w:rPr>
            </w:pPr>
          </w:p>
          <w:p w14:paraId="146FF66D" w14:textId="77777777" w:rsidR="006B6001" w:rsidRPr="00051704" w:rsidRDefault="006B6001" w:rsidP="00051704">
            <w:pPr>
              <w:rPr>
                <w:b/>
              </w:rPr>
            </w:pPr>
            <w:r w:rsidRPr="00051704">
              <w:rPr>
                <w:b/>
              </w:rPr>
              <w:t>2</w:t>
            </w:r>
          </w:p>
        </w:tc>
        <w:tc>
          <w:tcPr>
            <w:tcW w:w="3060" w:type="dxa"/>
            <w:shd w:val="clear" w:color="auto" w:fill="auto"/>
            <w:vAlign w:val="center"/>
          </w:tcPr>
          <w:p w14:paraId="0257CFC0" w14:textId="77777777" w:rsidR="006B6001" w:rsidRPr="00051704" w:rsidRDefault="006B6001" w:rsidP="00051704">
            <w:pPr>
              <w:rPr>
                <w:bCs/>
              </w:rPr>
            </w:pPr>
            <w:r w:rsidRPr="00051704">
              <w:rPr>
                <w:bCs/>
              </w:rPr>
              <w:t>-</w:t>
            </w:r>
            <w:r w:rsidRPr="00051704">
              <w:rPr>
                <w:bCs/>
              </w:rPr>
              <w:tab/>
              <w:t>Highlighting the role/impact women have in preventing and responding to various crises and the unique gaps their participation addresses.</w:t>
            </w:r>
          </w:p>
          <w:p w14:paraId="7DC9A986" w14:textId="77777777" w:rsidR="006B6001" w:rsidRPr="00051704" w:rsidRDefault="006B6001" w:rsidP="00051704">
            <w:pPr>
              <w:rPr>
                <w:bCs/>
              </w:rPr>
            </w:pPr>
            <w:r w:rsidRPr="00051704">
              <w:rPr>
                <w:bCs/>
              </w:rPr>
              <w:t>-</w:t>
            </w:r>
            <w:r w:rsidRPr="00051704">
              <w:rPr>
                <w:bCs/>
              </w:rPr>
              <w:tab/>
              <w:t>Encouraging greater media coverage on the said role and broadening the reach of the message to communities outside key urban locations.</w:t>
            </w:r>
          </w:p>
          <w:p w14:paraId="3C798367" w14:textId="77777777" w:rsidR="006B6001" w:rsidRPr="00051704" w:rsidRDefault="006B6001" w:rsidP="00051704">
            <w:pPr>
              <w:rPr>
                <w:bCs/>
              </w:rPr>
            </w:pPr>
            <w:r w:rsidRPr="00051704">
              <w:rPr>
                <w:bCs/>
              </w:rPr>
              <w:t>-</w:t>
            </w:r>
            <w:r w:rsidRPr="00051704">
              <w:rPr>
                <w:bCs/>
              </w:rPr>
              <w:tab/>
              <w:t>Empowering young women to pursue careers in the peace, security, diplomatic, and justice sectors through messages that combat misogyny, gender inequality, and harmful norms.</w:t>
            </w:r>
          </w:p>
        </w:tc>
        <w:tc>
          <w:tcPr>
            <w:tcW w:w="2610" w:type="dxa"/>
            <w:shd w:val="clear" w:color="auto" w:fill="auto"/>
            <w:vAlign w:val="center"/>
          </w:tcPr>
          <w:p w14:paraId="1232F99B" w14:textId="77777777" w:rsidR="006B6001" w:rsidRPr="00051704" w:rsidRDefault="006B6001" w:rsidP="00051704">
            <w:pPr>
              <w:rPr>
                <w:bCs/>
              </w:rPr>
            </w:pPr>
            <w:r w:rsidRPr="00051704">
              <w:rPr>
                <w:bCs/>
              </w:rPr>
              <w:t>•Government officials, professionals, and decision-makers in the security, military, diplomatic, and justice sectors, including the United Nations.</w:t>
            </w:r>
          </w:p>
          <w:p w14:paraId="489E5D17" w14:textId="77777777" w:rsidR="006B6001" w:rsidRPr="00051704" w:rsidRDefault="006B6001" w:rsidP="00051704">
            <w:pPr>
              <w:rPr>
                <w:bCs/>
              </w:rPr>
            </w:pPr>
            <w:r w:rsidRPr="00051704">
              <w:rPr>
                <w:bCs/>
              </w:rPr>
              <w:t>•Women leaders and women-led organizations and women in prominent roles</w:t>
            </w:r>
          </w:p>
          <w:p w14:paraId="7E661484" w14:textId="77777777" w:rsidR="006B6001" w:rsidRPr="00051704" w:rsidRDefault="006B6001" w:rsidP="00051704">
            <w:pPr>
              <w:rPr>
                <w:bCs/>
              </w:rPr>
            </w:pPr>
            <w:r w:rsidRPr="00051704">
              <w:rPr>
                <w:bCs/>
              </w:rPr>
              <w:t>•Social media/opinion influencers.</w:t>
            </w:r>
          </w:p>
          <w:p w14:paraId="2D2E1200" w14:textId="77777777" w:rsidR="006B6001" w:rsidRPr="00051704" w:rsidRDefault="006B6001" w:rsidP="00051704">
            <w:pPr>
              <w:rPr>
                <w:bCs/>
              </w:rPr>
            </w:pPr>
            <w:r w:rsidRPr="00051704">
              <w:rPr>
                <w:bCs/>
              </w:rPr>
              <w:t>•Policy and decision makers.</w:t>
            </w:r>
          </w:p>
          <w:p w14:paraId="5B756230" w14:textId="77777777" w:rsidR="006B6001" w:rsidRPr="00051704" w:rsidRDefault="006B6001" w:rsidP="00051704">
            <w:pPr>
              <w:rPr>
                <w:bCs/>
              </w:rPr>
            </w:pPr>
            <w:r w:rsidRPr="00051704">
              <w:rPr>
                <w:bCs/>
              </w:rPr>
              <w:t>•Media professionals, journalists and media outlets.</w:t>
            </w:r>
          </w:p>
          <w:p w14:paraId="4144C39F" w14:textId="77777777" w:rsidR="006B6001" w:rsidRPr="00051704" w:rsidRDefault="006B6001" w:rsidP="00051704">
            <w:pPr>
              <w:rPr>
                <w:bCs/>
              </w:rPr>
            </w:pPr>
            <w:r w:rsidRPr="00051704">
              <w:rPr>
                <w:bCs/>
              </w:rPr>
              <w:t>•Adolescent girls and young women.</w:t>
            </w:r>
          </w:p>
          <w:p w14:paraId="06119217" w14:textId="77777777" w:rsidR="006B6001" w:rsidRPr="00051704" w:rsidRDefault="006B6001" w:rsidP="00051704">
            <w:pPr>
              <w:rPr>
                <w:bCs/>
              </w:rPr>
            </w:pPr>
            <w:r w:rsidRPr="00051704">
              <w:rPr>
                <w:bCs/>
              </w:rPr>
              <w:t>•Women and girls from marginalized groups.</w:t>
            </w:r>
          </w:p>
          <w:p w14:paraId="6B1E4256" w14:textId="77777777" w:rsidR="006B6001" w:rsidRPr="00051704" w:rsidRDefault="006B6001" w:rsidP="00051704">
            <w:pPr>
              <w:rPr>
                <w:bCs/>
              </w:rPr>
            </w:pPr>
            <w:r w:rsidRPr="00051704">
              <w:rPr>
                <w:bCs/>
              </w:rPr>
              <w:t>•Civil society organizations (CSOs).</w:t>
            </w:r>
          </w:p>
          <w:p w14:paraId="02E3D01C" w14:textId="77777777" w:rsidR="006B6001" w:rsidRPr="00051704" w:rsidRDefault="006B6001" w:rsidP="00051704">
            <w:pPr>
              <w:rPr>
                <w:bCs/>
              </w:rPr>
            </w:pPr>
            <w:r w:rsidRPr="00051704">
              <w:rPr>
                <w:bCs/>
              </w:rPr>
              <w:t>•Students, educational institutions, and teachers.</w:t>
            </w:r>
          </w:p>
          <w:p w14:paraId="78B3872D" w14:textId="77777777" w:rsidR="006B6001" w:rsidRPr="00051704" w:rsidRDefault="006B6001" w:rsidP="00051704">
            <w:pPr>
              <w:rPr>
                <w:bCs/>
              </w:rPr>
            </w:pPr>
            <w:r w:rsidRPr="00051704">
              <w:rPr>
                <w:bCs/>
              </w:rPr>
              <w:t>•Religious and community leaders</w:t>
            </w:r>
          </w:p>
          <w:p w14:paraId="1A55D4B8" w14:textId="77777777" w:rsidR="006B6001" w:rsidRPr="00051704" w:rsidRDefault="006B6001" w:rsidP="00051704">
            <w:pPr>
              <w:rPr>
                <w:bCs/>
              </w:rPr>
            </w:pPr>
            <w:r w:rsidRPr="00051704">
              <w:rPr>
                <w:bCs/>
              </w:rPr>
              <w:lastRenderedPageBreak/>
              <w:t>•Men and boys.</w:t>
            </w:r>
          </w:p>
          <w:p w14:paraId="69CE5BB3" w14:textId="77777777" w:rsidR="006B6001" w:rsidRPr="00051704" w:rsidRDefault="006B6001" w:rsidP="00051704">
            <w:pPr>
              <w:rPr>
                <w:bCs/>
              </w:rPr>
            </w:pPr>
            <w:r w:rsidRPr="00051704">
              <w:rPr>
                <w:bCs/>
              </w:rPr>
              <w:t>Service providers and the public</w:t>
            </w:r>
          </w:p>
        </w:tc>
        <w:tc>
          <w:tcPr>
            <w:tcW w:w="2880" w:type="dxa"/>
            <w:tcBorders>
              <w:bottom w:val="single" w:sz="4" w:space="0" w:color="000000"/>
            </w:tcBorders>
            <w:shd w:val="clear" w:color="auto" w:fill="E7E6E6" w:themeFill="background2"/>
            <w:vAlign w:val="center"/>
          </w:tcPr>
          <w:p w14:paraId="2CA0DF75" w14:textId="77777777" w:rsidR="006B6001" w:rsidRPr="00051704" w:rsidRDefault="006B6001" w:rsidP="00051704">
            <w:r w:rsidRPr="00B55CB9">
              <w:rPr>
                <w:b/>
                <w:highlight w:val="lightGray"/>
              </w:rPr>
              <w:lastRenderedPageBreak/>
              <w:t>Conduct one raising awareness campaign</w:t>
            </w:r>
            <w:r w:rsidRPr="00B55CB9">
              <w:rPr>
                <w:highlight w:val="lightGray"/>
              </w:rPr>
              <w:t>:</w:t>
            </w:r>
          </w:p>
          <w:p w14:paraId="32A967E4" w14:textId="77777777" w:rsidR="006B6001" w:rsidRPr="00051704" w:rsidRDefault="006B6001" w:rsidP="00051704">
            <w:r w:rsidRPr="00051704">
              <w:t>-Implement an interactive awareness-raising campaign on social media, featuring posts designed to encourage two-way communication. This includes quizzes about Resolution 1325 and soliciting responses, as well as a participation window inviting followers to share their interaction with Resolution 1325. For instance, we can introduce a Participation Challenge: 'How do you plan to support Resolution 1325? Share your plans and actions!</w:t>
            </w:r>
            <w:proofErr w:type="gramStart"/>
            <w:r w:rsidRPr="00051704">
              <w:t>',</w:t>
            </w:r>
            <w:proofErr w:type="gramEnd"/>
            <w:r w:rsidRPr="00051704">
              <w:t xml:space="preserve"> Participants will be requested to share their plans and insights and report back on their activities. This reporting mechanism will be coordinated with the Monitoring and Evaluation (M&amp;E) team to track engagement and assess the impact of the campaign.</w:t>
            </w:r>
          </w:p>
          <w:p w14:paraId="28036E3F" w14:textId="77777777" w:rsidR="006B6001" w:rsidRPr="00051704" w:rsidRDefault="006B6001" w:rsidP="00051704">
            <w:r w:rsidRPr="00051704">
              <w:t xml:space="preserve">To effectively leverage the plans that participants may not be able to execute, we will integrate their proposals into our project workflow. This </w:t>
            </w:r>
            <w:r w:rsidRPr="00051704">
              <w:lastRenderedPageBreak/>
              <w:t>involves actively encouraging participants to articulate their ideas clearly, fostering robust engagement with members of the national coalition to share these proposals, evaluating their feasibility and resource requirements, and finally, incorporating feasible proposals into our future action plans.</w:t>
            </w:r>
          </w:p>
        </w:tc>
        <w:tc>
          <w:tcPr>
            <w:tcW w:w="2430" w:type="dxa"/>
            <w:shd w:val="clear" w:color="auto" w:fill="auto"/>
            <w:vAlign w:val="center"/>
          </w:tcPr>
          <w:p w14:paraId="26A92741" w14:textId="77777777" w:rsidR="006B6001" w:rsidRPr="00051704" w:rsidRDefault="006B6001" w:rsidP="00051704">
            <w:r w:rsidRPr="00051704">
              <w:lastRenderedPageBreak/>
              <w:t>-The campaign will start in Sep Q3 and end in Nov Q4 2025.</w:t>
            </w:r>
          </w:p>
        </w:tc>
      </w:tr>
      <w:tr w:rsidR="006B6001" w:rsidRPr="00051704" w14:paraId="5D2FC893" w14:textId="77777777" w:rsidTr="00030BF3">
        <w:trPr>
          <w:trHeight w:val="11664"/>
        </w:trPr>
        <w:tc>
          <w:tcPr>
            <w:tcW w:w="507" w:type="dxa"/>
            <w:shd w:val="clear" w:color="auto" w:fill="auto"/>
            <w:vAlign w:val="center"/>
          </w:tcPr>
          <w:p w14:paraId="1F47FC1C" w14:textId="77777777" w:rsidR="006B6001" w:rsidRPr="00051704" w:rsidRDefault="006B6001" w:rsidP="00051704">
            <w:pPr>
              <w:rPr>
                <w:b/>
              </w:rPr>
            </w:pPr>
          </w:p>
          <w:p w14:paraId="279F7565" w14:textId="77777777" w:rsidR="006B6001" w:rsidRPr="00051704" w:rsidRDefault="006B6001" w:rsidP="00051704">
            <w:pPr>
              <w:rPr>
                <w:b/>
              </w:rPr>
            </w:pPr>
          </w:p>
          <w:p w14:paraId="2B677883" w14:textId="77777777" w:rsidR="006B6001" w:rsidRPr="00051704" w:rsidRDefault="006B6001" w:rsidP="00051704">
            <w:pPr>
              <w:rPr>
                <w:b/>
              </w:rPr>
            </w:pPr>
          </w:p>
          <w:p w14:paraId="3B8704BE" w14:textId="77777777" w:rsidR="006B6001" w:rsidRPr="00051704" w:rsidRDefault="006B6001" w:rsidP="00051704">
            <w:pPr>
              <w:rPr>
                <w:b/>
              </w:rPr>
            </w:pPr>
          </w:p>
          <w:p w14:paraId="45CDCDFB" w14:textId="77777777" w:rsidR="006B6001" w:rsidRPr="00051704" w:rsidRDefault="006B6001" w:rsidP="00051704">
            <w:pPr>
              <w:rPr>
                <w:b/>
              </w:rPr>
            </w:pPr>
          </w:p>
          <w:p w14:paraId="0363F1AD" w14:textId="77777777" w:rsidR="006B6001" w:rsidRPr="00051704" w:rsidRDefault="006B6001" w:rsidP="00051704">
            <w:pPr>
              <w:rPr>
                <w:b/>
              </w:rPr>
            </w:pPr>
            <w:r w:rsidRPr="00051704">
              <w:rPr>
                <w:b/>
              </w:rPr>
              <w:t>3</w:t>
            </w:r>
          </w:p>
        </w:tc>
        <w:tc>
          <w:tcPr>
            <w:tcW w:w="3060" w:type="dxa"/>
            <w:vMerge w:val="restart"/>
            <w:shd w:val="clear" w:color="auto" w:fill="auto"/>
            <w:vAlign w:val="center"/>
          </w:tcPr>
          <w:p w14:paraId="33BD367D" w14:textId="77777777" w:rsidR="006B6001" w:rsidRPr="00051704" w:rsidRDefault="006B6001" w:rsidP="00051704">
            <w:pPr>
              <w:rPr>
                <w:bCs/>
              </w:rPr>
            </w:pPr>
            <w:r w:rsidRPr="00051704">
              <w:rPr>
                <w:bCs/>
              </w:rPr>
              <w:t>-</w:t>
            </w:r>
            <w:r w:rsidRPr="00051704">
              <w:rPr>
                <w:bCs/>
              </w:rPr>
              <w:tab/>
              <w:t>Communicating a more comprehensive definition of peace and security.</w:t>
            </w:r>
          </w:p>
          <w:p w14:paraId="7CE02FF3" w14:textId="77777777" w:rsidR="006B6001" w:rsidRPr="00051704" w:rsidRDefault="006B6001" w:rsidP="00051704">
            <w:pPr>
              <w:rPr>
                <w:bCs/>
              </w:rPr>
            </w:pPr>
            <w:r w:rsidRPr="00051704">
              <w:rPr>
                <w:bCs/>
              </w:rPr>
              <w:t>- Encouraging greater media coverage on the said role and broadening the reach of the message to communities outside key urban locations.</w:t>
            </w:r>
          </w:p>
          <w:p w14:paraId="3F9C759D" w14:textId="77777777" w:rsidR="006B6001" w:rsidRPr="00051704" w:rsidRDefault="006B6001" w:rsidP="00051704">
            <w:pPr>
              <w:rPr>
                <w:bCs/>
              </w:rPr>
            </w:pPr>
            <w:r w:rsidRPr="00051704">
              <w:rPr>
                <w:bCs/>
              </w:rPr>
              <w:t xml:space="preserve">- Highlighting the local network of service providers supported by UN Women and reaffirming UN Women’s role in supporting </w:t>
            </w:r>
            <w:proofErr w:type="spellStart"/>
            <w:r w:rsidRPr="00051704">
              <w:rPr>
                <w:bCs/>
              </w:rPr>
              <w:t>programmes</w:t>
            </w:r>
            <w:proofErr w:type="spellEnd"/>
            <w:r w:rsidRPr="00051704">
              <w:rPr>
                <w:bCs/>
              </w:rPr>
              <w:t xml:space="preserve"> to prevent and respond to gender-based violence.</w:t>
            </w:r>
          </w:p>
          <w:p w14:paraId="7058D715" w14:textId="77777777" w:rsidR="006B6001" w:rsidRPr="00051704" w:rsidRDefault="006B6001" w:rsidP="00051704">
            <w:pPr>
              <w:rPr>
                <w:bCs/>
              </w:rPr>
            </w:pPr>
            <w:r w:rsidRPr="00051704">
              <w:rPr>
                <w:bCs/>
              </w:rPr>
              <w:t>-</w:t>
            </w:r>
            <w:r w:rsidRPr="00051704">
              <w:rPr>
                <w:bCs/>
              </w:rPr>
              <w:tab/>
              <w:t>Generating more impactful/ethical journalism on gender-based violence.</w:t>
            </w:r>
          </w:p>
          <w:p w14:paraId="1B4032AC" w14:textId="77777777" w:rsidR="006B6001" w:rsidRPr="00051704" w:rsidRDefault="006B6001" w:rsidP="00051704">
            <w:pPr>
              <w:rPr>
                <w:bCs/>
              </w:rPr>
            </w:pPr>
            <w:r w:rsidRPr="00051704">
              <w:rPr>
                <w:bCs/>
              </w:rPr>
              <w:t>-</w:t>
            </w:r>
            <w:r w:rsidRPr="00051704">
              <w:rPr>
                <w:bCs/>
              </w:rPr>
              <w:tab/>
              <w:t>Positioning the fight to end gender-based violence as a direct extension of overall efforts towards sustainable peace and security.</w:t>
            </w:r>
          </w:p>
          <w:p w14:paraId="08E4B5A6" w14:textId="77777777" w:rsidR="006B6001" w:rsidRPr="00051704" w:rsidRDefault="006B6001" w:rsidP="00051704">
            <w:pPr>
              <w:rPr>
                <w:bCs/>
              </w:rPr>
            </w:pPr>
            <w:r w:rsidRPr="00051704">
              <w:rPr>
                <w:bCs/>
              </w:rPr>
              <w:t>- Changing the discourse within religious communities and institutions on gender, women’s rights, and the unequal power structures that consistently harm/disenfranchise them.</w:t>
            </w:r>
          </w:p>
          <w:p w14:paraId="49194785" w14:textId="77777777" w:rsidR="006B6001" w:rsidRPr="00051704" w:rsidRDefault="006B6001" w:rsidP="00051704">
            <w:pPr>
              <w:rPr>
                <w:bCs/>
              </w:rPr>
            </w:pPr>
            <w:r w:rsidRPr="00051704">
              <w:rPr>
                <w:bCs/>
              </w:rPr>
              <w:t>-</w:t>
            </w:r>
            <w:r w:rsidRPr="00051704">
              <w:rPr>
                <w:bCs/>
              </w:rPr>
              <w:tab/>
              <w:t xml:space="preserve">Highlighting the root causes of gender-based violence </w:t>
            </w:r>
            <w:r w:rsidRPr="00051704">
              <w:rPr>
                <w:bCs/>
              </w:rPr>
              <w:lastRenderedPageBreak/>
              <w:t>as well as the service infrastructure available for women and girls at risk of or survivors of such violence.</w:t>
            </w:r>
          </w:p>
          <w:p w14:paraId="69D98537" w14:textId="77777777" w:rsidR="006B6001" w:rsidRPr="00051704" w:rsidRDefault="006B6001" w:rsidP="00051704">
            <w:pPr>
              <w:rPr>
                <w:bCs/>
              </w:rPr>
            </w:pPr>
            <w:r w:rsidRPr="00051704">
              <w:rPr>
                <w:bCs/>
              </w:rPr>
              <w:t>-</w:t>
            </w:r>
            <w:r w:rsidRPr="00051704">
              <w:rPr>
                <w:bCs/>
              </w:rPr>
              <w:tab/>
              <w:t>Leveraging (and creating) platforms that allow the voices of women and girls to be communicated and amplified.</w:t>
            </w:r>
          </w:p>
        </w:tc>
        <w:tc>
          <w:tcPr>
            <w:tcW w:w="2610" w:type="dxa"/>
            <w:vMerge w:val="restart"/>
            <w:shd w:val="clear" w:color="auto" w:fill="auto"/>
            <w:vAlign w:val="center"/>
          </w:tcPr>
          <w:p w14:paraId="7D4E0FB8" w14:textId="77777777" w:rsidR="006B6001" w:rsidRPr="00051704" w:rsidRDefault="006B6001" w:rsidP="00051704">
            <w:pPr>
              <w:rPr>
                <w:bCs/>
              </w:rPr>
            </w:pPr>
          </w:p>
          <w:p w14:paraId="36BDF470" w14:textId="77777777" w:rsidR="006B6001" w:rsidRPr="00051704" w:rsidRDefault="006B6001" w:rsidP="00051704">
            <w:pPr>
              <w:numPr>
                <w:ilvl w:val="0"/>
                <w:numId w:val="13"/>
              </w:numPr>
              <w:rPr>
                <w:lang w:val="en-GB"/>
              </w:rPr>
            </w:pPr>
            <w:r w:rsidRPr="00051704">
              <w:rPr>
                <w:lang w:val="en-GB"/>
              </w:rPr>
              <w:t>Communication and media working group from the Jordanian National Coalition to Implement UNSCR 1325 on Women, Peace, and Security.</w:t>
            </w:r>
          </w:p>
          <w:p w14:paraId="30574A6D" w14:textId="77777777" w:rsidR="006B6001" w:rsidRPr="00051704" w:rsidRDefault="006B6001" w:rsidP="00051704">
            <w:pPr>
              <w:numPr>
                <w:ilvl w:val="0"/>
                <w:numId w:val="13"/>
              </w:numPr>
              <w:rPr>
                <w:lang w:val="en-GB"/>
              </w:rPr>
            </w:pPr>
            <w:r w:rsidRPr="00051704">
              <w:rPr>
                <w:lang w:val="en-GB"/>
              </w:rPr>
              <w:t>Media professionals, journalists and media outlets.</w:t>
            </w:r>
          </w:p>
          <w:p w14:paraId="1FCEF3FE" w14:textId="77777777" w:rsidR="006B6001" w:rsidRPr="00051704" w:rsidRDefault="006B6001" w:rsidP="00051704">
            <w:pPr>
              <w:numPr>
                <w:ilvl w:val="0"/>
                <w:numId w:val="13"/>
              </w:numPr>
              <w:rPr>
                <w:lang w:val="en-GB"/>
              </w:rPr>
            </w:pPr>
            <w:r w:rsidRPr="00051704">
              <w:rPr>
                <w:bCs/>
              </w:rPr>
              <w:t>Social media/opinion influencers.0[</w:t>
            </w:r>
          </w:p>
          <w:p w14:paraId="61731A2F" w14:textId="77777777" w:rsidR="006B6001" w:rsidRPr="00051704" w:rsidRDefault="006B6001" w:rsidP="00051704">
            <w:pPr>
              <w:rPr>
                <w:bCs/>
                <w:lang w:val="en-GB"/>
              </w:rPr>
            </w:pPr>
          </w:p>
        </w:tc>
        <w:tc>
          <w:tcPr>
            <w:tcW w:w="2880" w:type="dxa"/>
            <w:vMerge w:val="restart"/>
            <w:shd w:val="clear" w:color="auto" w:fill="E7E6E6" w:themeFill="background2"/>
            <w:vAlign w:val="center"/>
          </w:tcPr>
          <w:p w14:paraId="17C05EC9" w14:textId="77777777" w:rsidR="006B6001" w:rsidRPr="00051704" w:rsidRDefault="006B6001" w:rsidP="00EB4521">
            <w:pPr>
              <w:shd w:val="clear" w:color="auto" w:fill="E7E6E6" w:themeFill="background2"/>
              <w:rPr>
                <w:bCs/>
              </w:rPr>
            </w:pPr>
            <w:r w:rsidRPr="00B55CB9">
              <w:rPr>
                <w:b/>
                <w:highlight w:val="lightGray"/>
              </w:rPr>
              <w:t>Formation communication and media working group</w:t>
            </w:r>
            <w:r w:rsidRPr="00051704">
              <w:rPr>
                <w:b/>
              </w:rPr>
              <w:t>:</w:t>
            </w:r>
            <w:r w:rsidRPr="00051704">
              <w:t xml:space="preserve"> Establish a c</w:t>
            </w:r>
            <w:r w:rsidRPr="00051704">
              <w:rPr>
                <w:bCs/>
              </w:rPr>
              <w:t xml:space="preserve">ommunication and media working group from the Jordanian National Coalition to Implement UNSCR 1325 on Women, Peace, and Security, aimed at regulating and activating communication processes and channels between us. </w:t>
            </w:r>
            <w:r w:rsidRPr="00051704">
              <w:t>This also aims to provide a safe space for sharing experiences, best practices, and expertise regarding the communication strategy for implementing UN Security Council Resolution 1325 and the lessons learned, as well as encouraging and activating media coverage of women's roles in peace and security and providing a more comprehensive understanding of peace and security. Additionally, it includes specifying communication channels such as a WhatsApp group.</w:t>
            </w:r>
          </w:p>
          <w:p w14:paraId="4A00F31A" w14:textId="77777777" w:rsidR="006B6001" w:rsidRPr="00051704" w:rsidRDefault="006B6001" w:rsidP="00051704">
            <w:pPr>
              <w:rPr>
                <w:bCs/>
              </w:rPr>
            </w:pPr>
          </w:p>
          <w:p w14:paraId="217AFB1F" w14:textId="77777777" w:rsidR="006B6001" w:rsidRPr="00051704" w:rsidRDefault="006B6001" w:rsidP="00D74DE3">
            <w:pPr>
              <w:shd w:val="clear" w:color="auto" w:fill="E7E6E6" w:themeFill="background2"/>
              <w:rPr>
                <w:bCs/>
              </w:rPr>
            </w:pPr>
            <w:r w:rsidRPr="00051704">
              <w:rPr>
                <w:bCs/>
              </w:rPr>
              <w:t xml:space="preserve">Also, will incorporate orientation sessions on JONAP II and Gender-responsive journalism. The training on </w:t>
            </w:r>
            <w:r w:rsidRPr="00051704">
              <w:rPr>
                <w:bCs/>
              </w:rPr>
              <w:lastRenderedPageBreak/>
              <w:t>Gender-responsive journalism, including orientation sessions, spanning a 2-day duration</w:t>
            </w:r>
            <w:r w:rsidRPr="00051704">
              <w:t xml:space="preserve"> at the Dead Sea</w:t>
            </w:r>
            <w:r w:rsidRPr="00051704">
              <w:rPr>
                <w:bCs/>
              </w:rPr>
              <w:t xml:space="preserve">, will be conducted by an expert in the field. Additionally, heads of editorial teams from various media outlets including Roya TV, Jordan TV, Al </w:t>
            </w:r>
            <w:proofErr w:type="spellStart"/>
            <w:r w:rsidRPr="00051704">
              <w:rPr>
                <w:bCs/>
              </w:rPr>
              <w:t>Mamlaka</w:t>
            </w:r>
            <w:proofErr w:type="spellEnd"/>
            <w:r w:rsidRPr="00051704">
              <w:rPr>
                <w:bCs/>
              </w:rPr>
              <w:t xml:space="preserve"> TV, Petra News Agency, Al </w:t>
            </w:r>
            <w:proofErr w:type="spellStart"/>
            <w:r w:rsidRPr="00051704">
              <w:rPr>
                <w:bCs/>
              </w:rPr>
              <w:t>Ghad</w:t>
            </w:r>
            <w:proofErr w:type="spellEnd"/>
            <w:r w:rsidRPr="00051704">
              <w:rPr>
                <w:bCs/>
              </w:rPr>
              <w:t xml:space="preserve"> Newspaper, Al Rai Newspaper, </w:t>
            </w:r>
            <w:proofErr w:type="spellStart"/>
            <w:r w:rsidRPr="00051704">
              <w:rPr>
                <w:bCs/>
              </w:rPr>
              <w:t>Addustour</w:t>
            </w:r>
            <w:proofErr w:type="spellEnd"/>
            <w:r w:rsidRPr="00051704">
              <w:rPr>
                <w:bCs/>
              </w:rPr>
              <w:t xml:space="preserve"> Newspaper, Jordan Radio, Radio </w:t>
            </w:r>
            <w:proofErr w:type="spellStart"/>
            <w:r w:rsidRPr="00051704">
              <w:rPr>
                <w:bCs/>
              </w:rPr>
              <w:t>Hala</w:t>
            </w:r>
            <w:proofErr w:type="spellEnd"/>
            <w:r w:rsidRPr="00051704">
              <w:rPr>
                <w:bCs/>
              </w:rPr>
              <w:t xml:space="preserve"> FM and Amen FM. This initiative will also provide an opportunity for networking and relationship-building with editorial heads from media institutions.</w:t>
            </w:r>
          </w:p>
          <w:p w14:paraId="0600A377" w14:textId="77777777" w:rsidR="006B6001" w:rsidRPr="00051704" w:rsidRDefault="006B6001" w:rsidP="00051704">
            <w:pPr>
              <w:rPr>
                <w:bCs/>
              </w:rPr>
            </w:pPr>
          </w:p>
          <w:p w14:paraId="618BBF7B" w14:textId="77777777" w:rsidR="006B6001" w:rsidRPr="00051704" w:rsidRDefault="006B6001" w:rsidP="00051704">
            <w:pPr>
              <w:rPr>
                <w:bCs/>
              </w:rPr>
            </w:pPr>
            <w:r w:rsidRPr="00051704">
              <w:rPr>
                <w:bCs/>
              </w:rPr>
              <w:t>Thirty participants will attend the training, comprising 20 media professionals and 10 representatives from partner organizations and relevant coalition members. Participants will arrive at the Dead Sea training venue one day before the commencement of the training afternoon, to ensure punctuality. They will then engage in the training for two days.</w:t>
            </w:r>
          </w:p>
        </w:tc>
        <w:tc>
          <w:tcPr>
            <w:tcW w:w="2430" w:type="dxa"/>
            <w:shd w:val="clear" w:color="auto" w:fill="auto"/>
            <w:vAlign w:val="center"/>
          </w:tcPr>
          <w:p w14:paraId="493DB4D0" w14:textId="77777777" w:rsidR="006B6001" w:rsidRPr="00051704" w:rsidRDefault="006B6001" w:rsidP="00051704">
            <w:pPr>
              <w:rPr>
                <w:bCs/>
              </w:rPr>
            </w:pPr>
            <w:r w:rsidRPr="00051704">
              <w:rPr>
                <w:bCs/>
              </w:rPr>
              <w:lastRenderedPageBreak/>
              <w:t>- The communication and media working group will be formed in July Q3 2024</w:t>
            </w:r>
          </w:p>
          <w:p w14:paraId="5F4E7550" w14:textId="77777777" w:rsidR="006B6001" w:rsidRPr="00051704" w:rsidRDefault="006B6001" w:rsidP="00051704">
            <w:pPr>
              <w:rPr>
                <w:bCs/>
              </w:rPr>
            </w:pPr>
          </w:p>
          <w:p w14:paraId="5FF77186" w14:textId="77777777" w:rsidR="006B6001" w:rsidRPr="00051704" w:rsidRDefault="006B6001" w:rsidP="00051704">
            <w:pPr>
              <w:rPr>
                <w:b/>
              </w:rPr>
            </w:pPr>
            <w:r w:rsidRPr="00051704">
              <w:rPr>
                <w:bCs/>
              </w:rPr>
              <w:t>- The training on Gender-responsive journalism, including orientation sessions, will be held in Aug Q3 2024</w:t>
            </w:r>
          </w:p>
        </w:tc>
      </w:tr>
      <w:tr w:rsidR="006B6001" w:rsidRPr="00051704" w14:paraId="6069C62B" w14:textId="77777777" w:rsidTr="00030BF3">
        <w:trPr>
          <w:trHeight w:val="768"/>
        </w:trPr>
        <w:tc>
          <w:tcPr>
            <w:tcW w:w="507" w:type="dxa"/>
            <w:shd w:val="clear" w:color="auto" w:fill="auto"/>
          </w:tcPr>
          <w:p w14:paraId="0D2E8712" w14:textId="77777777" w:rsidR="006B6001" w:rsidRPr="00051704" w:rsidRDefault="006B6001" w:rsidP="00051704"/>
        </w:tc>
        <w:tc>
          <w:tcPr>
            <w:tcW w:w="3060" w:type="dxa"/>
            <w:vMerge/>
            <w:shd w:val="clear" w:color="auto" w:fill="auto"/>
          </w:tcPr>
          <w:p w14:paraId="27F915BA" w14:textId="77777777" w:rsidR="006B6001" w:rsidRPr="00051704" w:rsidRDefault="006B6001" w:rsidP="00051704"/>
        </w:tc>
        <w:tc>
          <w:tcPr>
            <w:tcW w:w="2610" w:type="dxa"/>
            <w:vMerge/>
            <w:shd w:val="clear" w:color="auto" w:fill="auto"/>
          </w:tcPr>
          <w:p w14:paraId="7311E69D" w14:textId="77777777" w:rsidR="006B6001" w:rsidRPr="00051704" w:rsidRDefault="006B6001" w:rsidP="00051704">
            <w:pPr>
              <w:rPr>
                <w:bCs/>
              </w:rPr>
            </w:pPr>
          </w:p>
        </w:tc>
        <w:tc>
          <w:tcPr>
            <w:tcW w:w="2880" w:type="dxa"/>
            <w:vMerge/>
            <w:tcBorders>
              <w:bottom w:val="single" w:sz="4" w:space="0" w:color="000000"/>
            </w:tcBorders>
            <w:shd w:val="clear" w:color="auto" w:fill="E7E6E6" w:themeFill="background2"/>
            <w:vAlign w:val="center"/>
          </w:tcPr>
          <w:p w14:paraId="10C8F71F" w14:textId="77777777" w:rsidR="006B6001" w:rsidRPr="00051704" w:rsidRDefault="006B6001" w:rsidP="00051704"/>
        </w:tc>
        <w:tc>
          <w:tcPr>
            <w:tcW w:w="2430" w:type="dxa"/>
            <w:shd w:val="clear" w:color="auto" w:fill="auto"/>
            <w:vAlign w:val="center"/>
          </w:tcPr>
          <w:p w14:paraId="08BD0AE6" w14:textId="77777777" w:rsidR="006B6001" w:rsidRPr="00051704" w:rsidRDefault="006B6001" w:rsidP="00051704">
            <w:pPr>
              <w:rPr>
                <w:b/>
              </w:rPr>
            </w:pPr>
          </w:p>
        </w:tc>
      </w:tr>
      <w:tr w:rsidR="006B6001" w:rsidRPr="00051704" w14:paraId="219C32FE" w14:textId="77777777" w:rsidTr="00030BF3">
        <w:trPr>
          <w:trHeight w:val="306"/>
        </w:trPr>
        <w:tc>
          <w:tcPr>
            <w:tcW w:w="507" w:type="dxa"/>
            <w:shd w:val="clear" w:color="auto" w:fill="auto"/>
            <w:vAlign w:val="center"/>
          </w:tcPr>
          <w:p w14:paraId="54E44E5D" w14:textId="77777777" w:rsidR="006B6001" w:rsidRPr="00051704" w:rsidRDefault="006B6001" w:rsidP="00051704">
            <w:pPr>
              <w:rPr>
                <w:b/>
                <w:bCs/>
              </w:rPr>
            </w:pPr>
            <w:r w:rsidRPr="00051704">
              <w:rPr>
                <w:b/>
                <w:bCs/>
              </w:rPr>
              <w:t>4</w:t>
            </w:r>
          </w:p>
        </w:tc>
        <w:tc>
          <w:tcPr>
            <w:tcW w:w="3060" w:type="dxa"/>
            <w:vMerge/>
            <w:shd w:val="clear" w:color="auto" w:fill="auto"/>
            <w:vAlign w:val="center"/>
          </w:tcPr>
          <w:p w14:paraId="57393004" w14:textId="77777777" w:rsidR="006B6001" w:rsidRPr="00051704" w:rsidRDefault="006B6001" w:rsidP="00051704">
            <w:pPr>
              <w:rPr>
                <w:b/>
                <w:bCs/>
              </w:rPr>
            </w:pPr>
          </w:p>
        </w:tc>
        <w:tc>
          <w:tcPr>
            <w:tcW w:w="2610" w:type="dxa"/>
            <w:vMerge/>
            <w:shd w:val="clear" w:color="auto" w:fill="auto"/>
            <w:vAlign w:val="center"/>
          </w:tcPr>
          <w:p w14:paraId="74D069FB" w14:textId="77777777" w:rsidR="006B6001" w:rsidRPr="00051704" w:rsidRDefault="006B6001" w:rsidP="00051704">
            <w:pPr>
              <w:rPr>
                <w:b/>
                <w:bCs/>
              </w:rPr>
            </w:pPr>
          </w:p>
        </w:tc>
        <w:tc>
          <w:tcPr>
            <w:tcW w:w="2880" w:type="dxa"/>
            <w:shd w:val="clear" w:color="auto" w:fill="E7E6E6" w:themeFill="background2"/>
            <w:vAlign w:val="center"/>
          </w:tcPr>
          <w:p w14:paraId="7A7EBA24" w14:textId="77777777" w:rsidR="006B6001" w:rsidRPr="00051704" w:rsidRDefault="006B6001" w:rsidP="00051704">
            <w:r w:rsidRPr="00D74DE3">
              <w:rPr>
                <w:b/>
                <w:highlight w:val="lightGray"/>
              </w:rPr>
              <w:t>Media exposure for all activity’s</w:t>
            </w:r>
            <w:r w:rsidRPr="00D74DE3">
              <w:rPr>
                <w:highlight w:val="lightGray"/>
              </w:rPr>
              <w:t>:</w:t>
            </w:r>
            <w:r w:rsidRPr="00051704">
              <w:t xml:space="preserve"> Media Exposure for All Activities: Ensuring media exposure through press releases, interviews, and articles to disseminate key messages across various media channels.</w:t>
            </w:r>
            <w:r w:rsidRPr="00051704">
              <w:rPr>
                <w:rFonts w:hint="cs"/>
                <w:rtl/>
              </w:rPr>
              <w:t xml:space="preserve"> </w:t>
            </w:r>
            <w:r w:rsidRPr="00051704">
              <w:t>Each activity will be featured on social media platforms, accompanied by a press release upon its commencement or conclusion.</w:t>
            </w:r>
          </w:p>
        </w:tc>
        <w:tc>
          <w:tcPr>
            <w:tcW w:w="2430" w:type="dxa"/>
            <w:shd w:val="clear" w:color="auto" w:fill="auto"/>
            <w:vAlign w:val="center"/>
          </w:tcPr>
          <w:p w14:paraId="6AB7EFEF" w14:textId="77777777" w:rsidR="006B6001" w:rsidRPr="00051704" w:rsidRDefault="006B6001" w:rsidP="00051704">
            <w:pPr>
              <w:rPr>
                <w:b/>
                <w:bCs/>
              </w:rPr>
            </w:pPr>
            <w:r w:rsidRPr="00051704">
              <w:rPr>
                <w:b/>
                <w:bCs/>
              </w:rPr>
              <w:t>-</w:t>
            </w:r>
          </w:p>
        </w:tc>
      </w:tr>
      <w:tr w:rsidR="006B6001" w:rsidRPr="00051704" w14:paraId="60FE9C79" w14:textId="77777777" w:rsidTr="00030BF3">
        <w:trPr>
          <w:trHeight w:val="1062"/>
        </w:trPr>
        <w:tc>
          <w:tcPr>
            <w:tcW w:w="507" w:type="dxa"/>
            <w:shd w:val="clear" w:color="auto" w:fill="auto"/>
            <w:vAlign w:val="center"/>
          </w:tcPr>
          <w:p w14:paraId="4D92C74F" w14:textId="77777777" w:rsidR="006B6001" w:rsidRPr="00051704" w:rsidRDefault="006B6001" w:rsidP="00051704">
            <w:pPr>
              <w:rPr>
                <w:b/>
              </w:rPr>
            </w:pPr>
          </w:p>
          <w:p w14:paraId="12F50701" w14:textId="77777777" w:rsidR="006B6001" w:rsidRPr="00051704" w:rsidRDefault="006B6001" w:rsidP="00051704">
            <w:pPr>
              <w:rPr>
                <w:b/>
              </w:rPr>
            </w:pPr>
          </w:p>
          <w:p w14:paraId="5D1A7B04" w14:textId="77777777" w:rsidR="006B6001" w:rsidRPr="00051704" w:rsidRDefault="006B6001" w:rsidP="00051704">
            <w:pPr>
              <w:rPr>
                <w:b/>
              </w:rPr>
            </w:pPr>
            <w:r w:rsidRPr="00051704">
              <w:rPr>
                <w:b/>
              </w:rPr>
              <w:t>5</w:t>
            </w:r>
          </w:p>
        </w:tc>
        <w:tc>
          <w:tcPr>
            <w:tcW w:w="3060" w:type="dxa"/>
            <w:shd w:val="clear" w:color="auto" w:fill="auto"/>
            <w:vAlign w:val="center"/>
          </w:tcPr>
          <w:p w14:paraId="3D06BEF6" w14:textId="77777777" w:rsidR="006B6001" w:rsidRPr="00051704" w:rsidRDefault="006B6001" w:rsidP="00051704">
            <w:pPr>
              <w:rPr>
                <w:bCs/>
              </w:rPr>
            </w:pPr>
            <w:r w:rsidRPr="00051704">
              <w:rPr>
                <w:bCs/>
              </w:rPr>
              <w:t>- Empowering young women to pursue careers in the peace, security, diplomatic, and justice sectors through messages that combat misogyny, gender inequality, and harmful norms.</w:t>
            </w:r>
          </w:p>
          <w:p w14:paraId="46D8BD48" w14:textId="77777777" w:rsidR="006B6001" w:rsidRPr="00051704" w:rsidRDefault="006B6001" w:rsidP="00051704">
            <w:pPr>
              <w:rPr>
                <w:bCs/>
              </w:rPr>
            </w:pPr>
            <w:r w:rsidRPr="00051704">
              <w:rPr>
                <w:bCs/>
              </w:rPr>
              <w:t>- Encourage men’s engagement to combat gender-based discrimination and violence and promote men as gender champions especially in security sector</w:t>
            </w:r>
          </w:p>
          <w:p w14:paraId="03E24BCD" w14:textId="77777777" w:rsidR="006B6001" w:rsidRPr="00051704" w:rsidRDefault="006B6001" w:rsidP="00051704">
            <w:pPr>
              <w:rPr>
                <w:bCs/>
              </w:rPr>
            </w:pPr>
            <w:r w:rsidRPr="00051704">
              <w:rPr>
                <w:bCs/>
              </w:rPr>
              <w:t>-Highlighting the root causes of gender-based violence as well as the service infrastructure available for women and girls at risk of or survivors of such violence.</w:t>
            </w:r>
          </w:p>
          <w:p w14:paraId="1B82A661" w14:textId="77777777" w:rsidR="006B6001" w:rsidRPr="00051704" w:rsidRDefault="006B6001" w:rsidP="00051704">
            <w:pPr>
              <w:rPr>
                <w:bCs/>
              </w:rPr>
            </w:pPr>
            <w:r w:rsidRPr="00051704">
              <w:rPr>
                <w:bCs/>
              </w:rPr>
              <w:t xml:space="preserve">-Leveraging (and creating) platforms that allow the voices of </w:t>
            </w:r>
            <w:r w:rsidRPr="00051704">
              <w:rPr>
                <w:bCs/>
              </w:rPr>
              <w:lastRenderedPageBreak/>
              <w:t>women and girls to be communicated and amplified.</w:t>
            </w:r>
          </w:p>
          <w:p w14:paraId="7E35A5D6" w14:textId="77777777" w:rsidR="006B6001" w:rsidRPr="00051704" w:rsidRDefault="006B6001" w:rsidP="00051704">
            <w:pPr>
              <w:rPr>
                <w:b/>
              </w:rPr>
            </w:pPr>
          </w:p>
        </w:tc>
        <w:tc>
          <w:tcPr>
            <w:tcW w:w="2610" w:type="dxa"/>
            <w:shd w:val="clear" w:color="auto" w:fill="auto"/>
            <w:vAlign w:val="center"/>
          </w:tcPr>
          <w:p w14:paraId="345652A7" w14:textId="77777777" w:rsidR="006B6001" w:rsidRPr="00051704" w:rsidRDefault="006B6001" w:rsidP="00051704">
            <w:r w:rsidRPr="00051704">
              <w:lastRenderedPageBreak/>
              <w:t>•Adolescent girls and young women.</w:t>
            </w:r>
          </w:p>
          <w:p w14:paraId="6EAD9A9F" w14:textId="77777777" w:rsidR="006B6001" w:rsidRPr="00051704" w:rsidRDefault="006B6001" w:rsidP="00051704">
            <w:r w:rsidRPr="00051704">
              <w:t>•Women and girls from marginalized groups.</w:t>
            </w:r>
          </w:p>
          <w:p w14:paraId="1511AA52" w14:textId="77777777" w:rsidR="006B6001" w:rsidRPr="00051704" w:rsidRDefault="006B6001" w:rsidP="00051704">
            <w:r w:rsidRPr="00051704">
              <w:t>•Students, educational institutions, and teachers.</w:t>
            </w:r>
          </w:p>
          <w:p w14:paraId="61BFB646" w14:textId="77777777" w:rsidR="006B6001" w:rsidRPr="00051704" w:rsidRDefault="006B6001" w:rsidP="00051704">
            <w:r w:rsidRPr="00051704">
              <w:t>•Men and boys.</w:t>
            </w:r>
          </w:p>
          <w:p w14:paraId="12C074E6" w14:textId="77777777" w:rsidR="006B6001" w:rsidRPr="00051704" w:rsidRDefault="006B6001" w:rsidP="00051704">
            <w:r w:rsidRPr="00051704">
              <w:t>•</w:t>
            </w:r>
            <w:r w:rsidRPr="00051704">
              <w:tab/>
              <w:t>Service providers and the public</w:t>
            </w:r>
          </w:p>
          <w:p w14:paraId="7C514A62" w14:textId="77777777" w:rsidR="006B6001" w:rsidRPr="00051704" w:rsidRDefault="006B6001" w:rsidP="00051704">
            <w:pPr>
              <w:rPr>
                <w:bCs/>
              </w:rPr>
            </w:pPr>
          </w:p>
          <w:p w14:paraId="559F7F98" w14:textId="77777777" w:rsidR="006B6001" w:rsidRPr="00051704" w:rsidRDefault="006B6001" w:rsidP="00051704">
            <w:pPr>
              <w:rPr>
                <w:b/>
              </w:rPr>
            </w:pPr>
          </w:p>
        </w:tc>
        <w:tc>
          <w:tcPr>
            <w:tcW w:w="2880" w:type="dxa"/>
            <w:shd w:val="clear" w:color="auto" w:fill="E7E6E6" w:themeFill="background2"/>
            <w:vAlign w:val="center"/>
          </w:tcPr>
          <w:p w14:paraId="62EEDCEF" w14:textId="77777777" w:rsidR="006B6001" w:rsidRPr="00051704" w:rsidRDefault="006B6001" w:rsidP="00051704">
            <w:r w:rsidRPr="00051704">
              <w:rPr>
                <w:b/>
              </w:rPr>
              <w:t xml:space="preserve">Build Capacity initiative on 4 Jordanian universities: </w:t>
            </w:r>
            <w:r w:rsidRPr="00051704">
              <w:t>The Build Capacity initiative across four Jordanian universities to 400 University Students, aims to raise awareness among young women actors, including university students, to encourage their participation in peacebuilding and security efforts, with a specific focus on Resolution 1325.</w:t>
            </w:r>
          </w:p>
          <w:p w14:paraId="009E9A30" w14:textId="77777777" w:rsidR="006B6001" w:rsidRPr="00051704" w:rsidRDefault="006B6001" w:rsidP="00051704">
            <w:pPr>
              <w:rPr>
                <w:rtl/>
              </w:rPr>
            </w:pPr>
            <w:r w:rsidRPr="00051704">
              <w:t>By collaborating with the "</w:t>
            </w:r>
            <w:proofErr w:type="spellStart"/>
            <w:r w:rsidRPr="00051704">
              <w:t>Nahnu</w:t>
            </w:r>
            <w:proofErr w:type="spellEnd"/>
            <w:r w:rsidRPr="00051704">
              <w:t xml:space="preserve">" platform, we can leverage its extensive reach and engagement capabilities to amplify our message and attract a diverse range of participants. The platform's electronic infrastructure provides an accessible and </w:t>
            </w:r>
            <w:r w:rsidRPr="00051704">
              <w:lastRenderedPageBreak/>
              <w:t>convenient avenue for disseminating information and facilitating interaction among our target audience. Moreover, the partnership with "</w:t>
            </w:r>
            <w:proofErr w:type="spellStart"/>
            <w:r w:rsidRPr="00051704">
              <w:t>Nahnu</w:t>
            </w:r>
            <w:proofErr w:type="spellEnd"/>
            <w:r w:rsidRPr="00051704">
              <w:t>" will enable us to tap into its network of civil society organizations, private companies, and the public sector, thereby expanding our resources and opportunities for collaboration. This broader engagement will enhance the impact of our activities and contribute to the advancement of our goals in promoting gender equality and peacebuilding initiatives.</w:t>
            </w:r>
          </w:p>
        </w:tc>
        <w:tc>
          <w:tcPr>
            <w:tcW w:w="2430" w:type="dxa"/>
            <w:shd w:val="clear" w:color="auto" w:fill="auto"/>
            <w:vAlign w:val="center"/>
          </w:tcPr>
          <w:p w14:paraId="5F8DE35A" w14:textId="77777777" w:rsidR="006B6001" w:rsidRPr="00051704" w:rsidRDefault="006B6001" w:rsidP="00051704">
            <w:pPr>
              <w:rPr>
                <w:bCs/>
              </w:rPr>
            </w:pPr>
            <w:r w:rsidRPr="00051704">
              <w:rPr>
                <w:bCs/>
              </w:rPr>
              <w:lastRenderedPageBreak/>
              <w:t>-The first university, the University of Jordan in Amman, in April Q 2 2025</w:t>
            </w:r>
          </w:p>
          <w:p w14:paraId="6157CB36" w14:textId="77777777" w:rsidR="006B6001" w:rsidRPr="00051704" w:rsidRDefault="006B6001" w:rsidP="00051704">
            <w:pPr>
              <w:rPr>
                <w:bCs/>
              </w:rPr>
            </w:pPr>
          </w:p>
          <w:p w14:paraId="001BC1EB" w14:textId="77777777" w:rsidR="006B6001" w:rsidRPr="00051704" w:rsidRDefault="006B6001" w:rsidP="00051704">
            <w:pPr>
              <w:rPr>
                <w:bCs/>
              </w:rPr>
            </w:pPr>
            <w:r w:rsidRPr="00051704">
              <w:rPr>
                <w:bCs/>
              </w:rPr>
              <w:t>-The second university, Yarmouk University in Irbid, in May Q2 2025</w:t>
            </w:r>
          </w:p>
          <w:p w14:paraId="43EB0C0B" w14:textId="77777777" w:rsidR="006B6001" w:rsidRPr="00051704" w:rsidRDefault="006B6001" w:rsidP="00051704">
            <w:pPr>
              <w:rPr>
                <w:bCs/>
              </w:rPr>
            </w:pPr>
          </w:p>
          <w:p w14:paraId="2B39DA44" w14:textId="77777777" w:rsidR="006B6001" w:rsidRPr="00051704" w:rsidRDefault="006B6001" w:rsidP="00051704">
            <w:pPr>
              <w:rPr>
                <w:bCs/>
              </w:rPr>
            </w:pPr>
            <w:r w:rsidRPr="00051704">
              <w:rPr>
                <w:bCs/>
              </w:rPr>
              <w:t xml:space="preserve">-The third university, Al-Hussein Bin </w:t>
            </w:r>
            <w:proofErr w:type="spellStart"/>
            <w:r w:rsidRPr="00051704">
              <w:rPr>
                <w:bCs/>
              </w:rPr>
              <w:t>Talal</w:t>
            </w:r>
            <w:proofErr w:type="spellEnd"/>
            <w:r w:rsidRPr="00051704">
              <w:rPr>
                <w:bCs/>
              </w:rPr>
              <w:t xml:space="preserve"> University in </w:t>
            </w:r>
            <w:proofErr w:type="spellStart"/>
            <w:r w:rsidRPr="00051704">
              <w:rPr>
                <w:bCs/>
              </w:rPr>
              <w:t>Ma'an</w:t>
            </w:r>
            <w:proofErr w:type="spellEnd"/>
            <w:r w:rsidRPr="00051704">
              <w:rPr>
                <w:bCs/>
              </w:rPr>
              <w:t>, will host the initiative in July Q3 2025</w:t>
            </w:r>
          </w:p>
          <w:p w14:paraId="65772384" w14:textId="77777777" w:rsidR="006B6001" w:rsidRPr="00051704" w:rsidRDefault="006B6001" w:rsidP="00051704">
            <w:pPr>
              <w:rPr>
                <w:bCs/>
              </w:rPr>
            </w:pPr>
          </w:p>
          <w:p w14:paraId="269A5D5D" w14:textId="77777777" w:rsidR="006B6001" w:rsidRPr="00051704" w:rsidRDefault="006B6001" w:rsidP="00051704">
            <w:pPr>
              <w:rPr>
                <w:bCs/>
              </w:rPr>
            </w:pPr>
            <w:r w:rsidRPr="00051704">
              <w:rPr>
                <w:bCs/>
              </w:rPr>
              <w:t xml:space="preserve">-The fourth university, </w:t>
            </w:r>
            <w:proofErr w:type="spellStart"/>
            <w:r w:rsidRPr="00051704">
              <w:rPr>
                <w:bCs/>
              </w:rPr>
              <w:t>Mutah</w:t>
            </w:r>
            <w:proofErr w:type="spellEnd"/>
            <w:r w:rsidRPr="00051704">
              <w:rPr>
                <w:bCs/>
              </w:rPr>
              <w:t xml:space="preserve"> University in </w:t>
            </w:r>
            <w:proofErr w:type="spellStart"/>
            <w:r w:rsidRPr="00051704">
              <w:rPr>
                <w:bCs/>
              </w:rPr>
              <w:t>Karak</w:t>
            </w:r>
            <w:proofErr w:type="spellEnd"/>
            <w:r w:rsidRPr="00051704">
              <w:rPr>
                <w:bCs/>
              </w:rPr>
              <w:t>, in August Q3 2025</w:t>
            </w:r>
          </w:p>
        </w:tc>
      </w:tr>
      <w:tr w:rsidR="006B6001" w:rsidRPr="00051704" w14:paraId="58EC5C73" w14:textId="77777777" w:rsidTr="006B6001">
        <w:trPr>
          <w:trHeight w:val="522"/>
        </w:trPr>
        <w:tc>
          <w:tcPr>
            <w:tcW w:w="507" w:type="dxa"/>
            <w:shd w:val="clear" w:color="auto" w:fill="auto"/>
            <w:vAlign w:val="center"/>
          </w:tcPr>
          <w:p w14:paraId="508E9D50" w14:textId="77777777" w:rsidR="006B6001" w:rsidRPr="00051704" w:rsidRDefault="006B6001" w:rsidP="00051704">
            <w:pPr>
              <w:rPr>
                <w:b/>
              </w:rPr>
            </w:pPr>
            <w:r w:rsidRPr="00051704">
              <w:rPr>
                <w:b/>
              </w:rPr>
              <w:t>6</w:t>
            </w:r>
          </w:p>
        </w:tc>
        <w:tc>
          <w:tcPr>
            <w:tcW w:w="5670" w:type="dxa"/>
            <w:gridSpan w:val="2"/>
            <w:shd w:val="clear" w:color="auto" w:fill="auto"/>
            <w:vAlign w:val="center"/>
          </w:tcPr>
          <w:p w14:paraId="76BC59A7" w14:textId="77777777" w:rsidR="006B6001" w:rsidRPr="00051704" w:rsidRDefault="006B6001" w:rsidP="00051704">
            <w:pPr>
              <w:rPr>
                <w:bCs/>
              </w:rPr>
            </w:pPr>
            <w:r w:rsidRPr="00051704">
              <w:rPr>
                <w:bCs/>
              </w:rPr>
              <w:t>Communication Strategic Planning for implementing partners from the JONAP II coalition</w:t>
            </w:r>
          </w:p>
        </w:tc>
        <w:tc>
          <w:tcPr>
            <w:tcW w:w="2880" w:type="dxa"/>
            <w:tcBorders>
              <w:bottom w:val="single" w:sz="4" w:space="0" w:color="000000"/>
            </w:tcBorders>
            <w:shd w:val="clear" w:color="auto" w:fill="E7E6E6" w:themeFill="background2"/>
            <w:vAlign w:val="center"/>
          </w:tcPr>
          <w:p w14:paraId="4B202FB1" w14:textId="77777777" w:rsidR="006B6001" w:rsidRPr="00051704" w:rsidRDefault="006B6001" w:rsidP="00A9173B">
            <w:pPr>
              <w:shd w:val="clear" w:color="auto" w:fill="E7E6E6" w:themeFill="background2"/>
              <w:rPr>
                <w:rtl/>
              </w:rPr>
            </w:pPr>
            <w:r w:rsidRPr="00051704">
              <w:t xml:space="preserve">Synchronous Meeting, spanning two days in Amman, aims to involve participants from various sectors including security, military, diplomatic, governmental entities, civil society organizations, and media outlets. The communications team is responsible for delivering quarterly communications reports that focus on an internal examination to assess the effectiveness and outreach of our communications </w:t>
            </w:r>
            <w:r w:rsidRPr="00051704">
              <w:lastRenderedPageBreak/>
              <w:t>initiatives. Additionally, they will be requested to include three success stories in each quarterly report. These success stories will be leveraged across our social media channels in an engaging manner. I will compile these quarterly reports, develop a comprehensive report, and share it with UN Women.</w:t>
            </w:r>
          </w:p>
          <w:p w14:paraId="2CD27F5B" w14:textId="77777777" w:rsidR="006B6001" w:rsidRPr="00051704" w:rsidRDefault="006B6001" w:rsidP="00051704">
            <w:pPr>
              <w:rPr>
                <w:rtl/>
              </w:rPr>
            </w:pPr>
          </w:p>
          <w:p w14:paraId="226C88AC" w14:textId="77777777" w:rsidR="006B6001" w:rsidRPr="00051704" w:rsidRDefault="006B6001" w:rsidP="00A9173B">
            <w:pPr>
              <w:shd w:val="clear" w:color="auto" w:fill="E7E6E6" w:themeFill="background2"/>
            </w:pPr>
            <w:r w:rsidRPr="00051704">
              <w:t>Day 1 will concentrate on comprehending the strategic plan and providing an overview of the communication strategy, During the meeting's opening, amidst media presence, there will be an announcement regarding the restructuring and governance of the National Coalition, and Day 2 will focus on engaging in discussions on potential challenges and mitigation strategies.</w:t>
            </w:r>
            <w:r w:rsidRPr="00051704">
              <w:br/>
            </w:r>
          </w:p>
          <w:p w14:paraId="38C3F451" w14:textId="77777777" w:rsidR="006B6001" w:rsidRPr="00051704" w:rsidRDefault="006B6001" w:rsidP="00051704">
            <w:pPr>
              <w:rPr>
                <w:bCs/>
              </w:rPr>
            </w:pPr>
            <w:r w:rsidRPr="00A9173B">
              <w:rPr>
                <w:b/>
                <w:highlight w:val="lightGray"/>
              </w:rPr>
              <w:t>Two-days</w:t>
            </w:r>
            <w:r w:rsidRPr="00A9173B">
              <w:rPr>
                <w:bCs/>
                <w:highlight w:val="lightGray"/>
              </w:rPr>
              <w:t>:</w:t>
            </w:r>
            <w:r w:rsidRPr="00051704">
              <w:rPr>
                <w:bCs/>
              </w:rPr>
              <w:t xml:space="preserve"> Proposed Details:</w:t>
            </w:r>
          </w:p>
          <w:p w14:paraId="5080AC5A" w14:textId="77777777" w:rsidR="006B6001" w:rsidRPr="00051704" w:rsidRDefault="006B6001" w:rsidP="00051704">
            <w:pPr>
              <w:rPr>
                <w:bCs/>
              </w:rPr>
            </w:pPr>
            <w:r w:rsidRPr="00051704">
              <w:rPr>
                <w:bCs/>
              </w:rPr>
              <w:t>•</w:t>
            </w:r>
            <w:r w:rsidRPr="00051704">
              <w:rPr>
                <w:bCs/>
              </w:rPr>
              <w:tab/>
              <w:t>Duration: two-days</w:t>
            </w:r>
          </w:p>
          <w:p w14:paraId="7360EC3B" w14:textId="77777777" w:rsidR="006B6001" w:rsidRPr="00051704" w:rsidRDefault="006B6001" w:rsidP="00051704">
            <w:pPr>
              <w:rPr>
                <w:bCs/>
              </w:rPr>
            </w:pPr>
            <w:r w:rsidRPr="00051704">
              <w:rPr>
                <w:bCs/>
              </w:rPr>
              <w:t>•</w:t>
            </w:r>
            <w:r w:rsidRPr="00051704">
              <w:rPr>
                <w:bCs/>
              </w:rPr>
              <w:tab/>
              <w:t>Date: End-July 2024</w:t>
            </w:r>
          </w:p>
          <w:p w14:paraId="68539715" w14:textId="77777777" w:rsidR="006B6001" w:rsidRPr="00051704" w:rsidRDefault="006B6001" w:rsidP="00051704">
            <w:pPr>
              <w:rPr>
                <w:bCs/>
              </w:rPr>
            </w:pPr>
            <w:r w:rsidRPr="00051704">
              <w:rPr>
                <w:bCs/>
              </w:rPr>
              <w:lastRenderedPageBreak/>
              <w:t>•</w:t>
            </w:r>
            <w:r w:rsidRPr="00051704">
              <w:rPr>
                <w:bCs/>
              </w:rPr>
              <w:tab/>
              <w:t>Location: Amman, Jordan.</w:t>
            </w:r>
          </w:p>
          <w:p w14:paraId="69D7E003" w14:textId="77777777" w:rsidR="006B6001" w:rsidRPr="00051704" w:rsidRDefault="006B6001" w:rsidP="00051704">
            <w:pPr>
              <w:rPr>
                <w:bCs/>
              </w:rPr>
            </w:pPr>
            <w:r w:rsidRPr="00051704">
              <w:rPr>
                <w:bCs/>
              </w:rPr>
              <w:t>•</w:t>
            </w:r>
            <w:r w:rsidRPr="00051704">
              <w:rPr>
                <w:bCs/>
              </w:rPr>
              <w:tab/>
              <w:t>Attendance: Representatives from the National Coalition.</w:t>
            </w:r>
          </w:p>
        </w:tc>
        <w:tc>
          <w:tcPr>
            <w:tcW w:w="2430" w:type="dxa"/>
            <w:shd w:val="clear" w:color="auto" w:fill="auto"/>
            <w:vAlign w:val="center"/>
          </w:tcPr>
          <w:p w14:paraId="19B9B5B3" w14:textId="77777777" w:rsidR="006B6001" w:rsidRPr="00051704" w:rsidRDefault="006B6001" w:rsidP="00051704">
            <w:pPr>
              <w:rPr>
                <w:b/>
              </w:rPr>
            </w:pPr>
            <w:r w:rsidRPr="00051704">
              <w:lastRenderedPageBreak/>
              <w:t>July Q3 2024</w:t>
            </w:r>
          </w:p>
        </w:tc>
      </w:tr>
      <w:tr w:rsidR="006B6001" w:rsidRPr="00051704" w14:paraId="2E15539E" w14:textId="77777777" w:rsidTr="00030BF3">
        <w:trPr>
          <w:trHeight w:val="522"/>
        </w:trPr>
        <w:tc>
          <w:tcPr>
            <w:tcW w:w="507" w:type="dxa"/>
            <w:shd w:val="clear" w:color="auto" w:fill="auto"/>
            <w:vAlign w:val="center"/>
          </w:tcPr>
          <w:p w14:paraId="794EC614" w14:textId="77777777" w:rsidR="006B6001" w:rsidRPr="00051704" w:rsidRDefault="006B6001" w:rsidP="00051704">
            <w:pPr>
              <w:rPr>
                <w:b/>
                <w:rtl/>
              </w:rPr>
            </w:pPr>
            <w:r w:rsidRPr="00051704">
              <w:rPr>
                <w:b/>
              </w:rPr>
              <w:lastRenderedPageBreak/>
              <w:t>7</w:t>
            </w:r>
          </w:p>
        </w:tc>
        <w:tc>
          <w:tcPr>
            <w:tcW w:w="3060" w:type="dxa"/>
            <w:shd w:val="clear" w:color="auto" w:fill="auto"/>
            <w:vAlign w:val="center"/>
          </w:tcPr>
          <w:p w14:paraId="6766E3BF" w14:textId="77777777" w:rsidR="006B6001" w:rsidRPr="00051704" w:rsidRDefault="006B6001" w:rsidP="00051704">
            <w:pPr>
              <w:rPr>
                <w:bCs/>
              </w:rPr>
            </w:pPr>
            <w:r w:rsidRPr="00051704">
              <w:rPr>
                <w:bCs/>
              </w:rPr>
              <w:t>-</w:t>
            </w:r>
            <w:r w:rsidRPr="00051704">
              <w:rPr>
                <w:bCs/>
              </w:rPr>
              <w:tab/>
              <w:t>Highlighting the achievements of women in prominent roles, including the diplomatic and justice sectors.</w:t>
            </w:r>
          </w:p>
          <w:p w14:paraId="713C0B6C" w14:textId="77777777" w:rsidR="006B6001" w:rsidRPr="00051704" w:rsidRDefault="006B6001" w:rsidP="00051704">
            <w:pPr>
              <w:rPr>
                <w:bCs/>
              </w:rPr>
            </w:pPr>
            <w:r w:rsidRPr="00051704">
              <w:rPr>
                <w:bCs/>
              </w:rPr>
              <w:t>-</w:t>
            </w:r>
            <w:r w:rsidRPr="00051704">
              <w:rPr>
                <w:bCs/>
              </w:rPr>
              <w:tab/>
              <w:t>Highlighting the diversity of women occupying prominent and impactful roles in said sectors, including the diversity of ages, backgrounds, and nationalities.</w:t>
            </w:r>
          </w:p>
          <w:p w14:paraId="278F23CC" w14:textId="77777777" w:rsidR="006B6001" w:rsidRPr="00051704" w:rsidRDefault="006B6001" w:rsidP="00051704">
            <w:pPr>
              <w:rPr>
                <w:bCs/>
              </w:rPr>
            </w:pPr>
            <w:r w:rsidRPr="00051704">
              <w:rPr>
                <w:bCs/>
              </w:rPr>
              <w:t>-</w:t>
            </w:r>
            <w:r w:rsidRPr="00051704">
              <w:rPr>
                <w:bCs/>
              </w:rPr>
              <w:tab/>
              <w:t>Highlighting the role/impact women have in preventing and responding to various crises and the unique gaps their participation addresses.</w:t>
            </w:r>
          </w:p>
          <w:p w14:paraId="395D22CD" w14:textId="77777777" w:rsidR="006B6001" w:rsidRPr="00051704" w:rsidRDefault="006B6001" w:rsidP="00051704">
            <w:pPr>
              <w:rPr>
                <w:bCs/>
              </w:rPr>
            </w:pPr>
            <w:r w:rsidRPr="00051704">
              <w:rPr>
                <w:bCs/>
              </w:rPr>
              <w:t>-</w:t>
            </w:r>
            <w:r w:rsidRPr="00051704">
              <w:rPr>
                <w:bCs/>
              </w:rPr>
              <w:tab/>
              <w:t>Empowering young women to pursue careers in the peace, security, diplomatic, and justice sectors through messages that combat misogyny, gender inequality, and harmful norms.</w:t>
            </w:r>
          </w:p>
          <w:p w14:paraId="450CD635" w14:textId="77777777" w:rsidR="006B6001" w:rsidRPr="00051704" w:rsidRDefault="006B6001" w:rsidP="00051704">
            <w:pPr>
              <w:rPr>
                <w:bCs/>
              </w:rPr>
            </w:pPr>
            <w:r w:rsidRPr="00051704">
              <w:rPr>
                <w:bCs/>
              </w:rPr>
              <w:t>-</w:t>
            </w:r>
            <w:r w:rsidRPr="00051704">
              <w:rPr>
                <w:bCs/>
              </w:rPr>
              <w:tab/>
              <w:t xml:space="preserve">Highlighting the root causes of gender-based violence as well as the service infrastructure available for </w:t>
            </w:r>
            <w:r w:rsidRPr="00051704">
              <w:rPr>
                <w:bCs/>
              </w:rPr>
              <w:lastRenderedPageBreak/>
              <w:t>women and girls at risk of or survivors of such violence.</w:t>
            </w:r>
          </w:p>
          <w:p w14:paraId="188290E3" w14:textId="77777777" w:rsidR="006B6001" w:rsidRPr="00051704" w:rsidRDefault="006B6001" w:rsidP="00051704">
            <w:pPr>
              <w:rPr>
                <w:bCs/>
              </w:rPr>
            </w:pPr>
            <w:r w:rsidRPr="00051704">
              <w:rPr>
                <w:bCs/>
              </w:rPr>
              <w:t>-</w:t>
            </w:r>
            <w:r w:rsidRPr="00051704">
              <w:rPr>
                <w:bCs/>
              </w:rPr>
              <w:tab/>
              <w:t>Leveraging (and creating) platforms that allow the voices of women and girls to be communicated and amplified.</w:t>
            </w:r>
          </w:p>
        </w:tc>
        <w:tc>
          <w:tcPr>
            <w:tcW w:w="2610" w:type="dxa"/>
            <w:shd w:val="clear" w:color="auto" w:fill="auto"/>
            <w:vAlign w:val="center"/>
          </w:tcPr>
          <w:p w14:paraId="010BED5A" w14:textId="77777777" w:rsidR="006B6001" w:rsidRPr="00051704" w:rsidRDefault="006B6001" w:rsidP="00051704">
            <w:pPr>
              <w:rPr>
                <w:bCs/>
              </w:rPr>
            </w:pPr>
            <w:r w:rsidRPr="00051704">
              <w:rPr>
                <w:bCs/>
              </w:rPr>
              <w:lastRenderedPageBreak/>
              <w:t>•Government officials, professionals, and decision-makers in the security, military, diplomatic, and justice sectors, including the United Nations.</w:t>
            </w:r>
          </w:p>
          <w:p w14:paraId="419D3E28" w14:textId="77777777" w:rsidR="006B6001" w:rsidRPr="00051704" w:rsidRDefault="006B6001" w:rsidP="00051704">
            <w:pPr>
              <w:rPr>
                <w:bCs/>
              </w:rPr>
            </w:pPr>
            <w:r w:rsidRPr="00051704">
              <w:rPr>
                <w:bCs/>
              </w:rPr>
              <w:t>•Women leaders and women-led organizations and women in prominent roles</w:t>
            </w:r>
          </w:p>
          <w:p w14:paraId="486661AB" w14:textId="77777777" w:rsidR="006B6001" w:rsidRPr="00051704" w:rsidRDefault="006B6001" w:rsidP="00051704">
            <w:pPr>
              <w:rPr>
                <w:bCs/>
              </w:rPr>
            </w:pPr>
            <w:r w:rsidRPr="00051704">
              <w:rPr>
                <w:bCs/>
              </w:rPr>
              <w:t>•Social media/opinion influencers.</w:t>
            </w:r>
          </w:p>
          <w:p w14:paraId="1ABDB9F6" w14:textId="77777777" w:rsidR="006B6001" w:rsidRPr="00051704" w:rsidRDefault="006B6001" w:rsidP="00051704">
            <w:pPr>
              <w:rPr>
                <w:bCs/>
              </w:rPr>
            </w:pPr>
            <w:r w:rsidRPr="00051704">
              <w:rPr>
                <w:bCs/>
              </w:rPr>
              <w:t>•Policy and decision makers.</w:t>
            </w:r>
          </w:p>
          <w:p w14:paraId="7B93C7DD" w14:textId="77777777" w:rsidR="006B6001" w:rsidRPr="00051704" w:rsidRDefault="006B6001" w:rsidP="00051704">
            <w:pPr>
              <w:rPr>
                <w:bCs/>
              </w:rPr>
            </w:pPr>
            <w:r w:rsidRPr="00051704">
              <w:rPr>
                <w:bCs/>
              </w:rPr>
              <w:t>•Media professionals, journalists and media outlets.</w:t>
            </w:r>
          </w:p>
          <w:p w14:paraId="6F675DA5" w14:textId="77777777" w:rsidR="006B6001" w:rsidRPr="00051704" w:rsidRDefault="006B6001" w:rsidP="00051704">
            <w:pPr>
              <w:rPr>
                <w:bCs/>
              </w:rPr>
            </w:pPr>
            <w:r w:rsidRPr="00051704">
              <w:rPr>
                <w:bCs/>
              </w:rPr>
              <w:t>•Adolescent girls and young women.</w:t>
            </w:r>
          </w:p>
          <w:p w14:paraId="6B808697" w14:textId="77777777" w:rsidR="006B6001" w:rsidRPr="00051704" w:rsidRDefault="006B6001" w:rsidP="00051704">
            <w:pPr>
              <w:rPr>
                <w:bCs/>
              </w:rPr>
            </w:pPr>
            <w:r w:rsidRPr="00051704">
              <w:rPr>
                <w:bCs/>
              </w:rPr>
              <w:t>•Women and girls from marginalized groups.</w:t>
            </w:r>
          </w:p>
          <w:p w14:paraId="3CB82E3D" w14:textId="77777777" w:rsidR="006B6001" w:rsidRPr="00051704" w:rsidRDefault="006B6001" w:rsidP="00051704">
            <w:pPr>
              <w:rPr>
                <w:bCs/>
              </w:rPr>
            </w:pPr>
            <w:r w:rsidRPr="00051704">
              <w:rPr>
                <w:bCs/>
              </w:rPr>
              <w:t>•Civil society organizations (CSOs).</w:t>
            </w:r>
          </w:p>
          <w:p w14:paraId="00D2BCD8" w14:textId="77777777" w:rsidR="006B6001" w:rsidRPr="00051704" w:rsidRDefault="006B6001" w:rsidP="00051704">
            <w:pPr>
              <w:rPr>
                <w:bCs/>
              </w:rPr>
            </w:pPr>
            <w:r w:rsidRPr="00051704">
              <w:rPr>
                <w:bCs/>
              </w:rPr>
              <w:lastRenderedPageBreak/>
              <w:t>•Students, educational institutions, and teachers.</w:t>
            </w:r>
          </w:p>
          <w:p w14:paraId="2FA3666A" w14:textId="77777777" w:rsidR="006B6001" w:rsidRPr="00051704" w:rsidRDefault="006B6001" w:rsidP="00051704">
            <w:pPr>
              <w:rPr>
                <w:bCs/>
              </w:rPr>
            </w:pPr>
            <w:r w:rsidRPr="00051704">
              <w:rPr>
                <w:bCs/>
              </w:rPr>
              <w:t>•Religious and community leaders</w:t>
            </w:r>
          </w:p>
          <w:p w14:paraId="2A9CAFFA" w14:textId="77777777" w:rsidR="006B6001" w:rsidRPr="00051704" w:rsidRDefault="006B6001" w:rsidP="00051704">
            <w:pPr>
              <w:rPr>
                <w:bCs/>
              </w:rPr>
            </w:pPr>
            <w:r w:rsidRPr="00051704">
              <w:rPr>
                <w:bCs/>
              </w:rPr>
              <w:t>•Men and boys.</w:t>
            </w:r>
          </w:p>
          <w:p w14:paraId="5817C307" w14:textId="77777777" w:rsidR="006B6001" w:rsidRPr="00051704" w:rsidRDefault="006B6001" w:rsidP="00051704">
            <w:pPr>
              <w:numPr>
                <w:ilvl w:val="0"/>
                <w:numId w:val="14"/>
              </w:numPr>
              <w:rPr>
                <w:bCs/>
              </w:rPr>
            </w:pPr>
            <w:r w:rsidRPr="00051704">
              <w:rPr>
                <w:bCs/>
              </w:rPr>
              <w:t>Service providers and the public</w:t>
            </w:r>
          </w:p>
          <w:p w14:paraId="22A1C464" w14:textId="77777777" w:rsidR="006B6001" w:rsidRPr="00051704" w:rsidRDefault="006B6001" w:rsidP="00051704">
            <w:pPr>
              <w:rPr>
                <w:bCs/>
              </w:rPr>
            </w:pPr>
          </w:p>
          <w:p w14:paraId="32F7EE38" w14:textId="77777777" w:rsidR="006B6001" w:rsidRPr="00051704" w:rsidRDefault="006B6001" w:rsidP="00051704">
            <w:pPr>
              <w:rPr>
                <w:b/>
              </w:rPr>
            </w:pPr>
          </w:p>
        </w:tc>
        <w:tc>
          <w:tcPr>
            <w:tcW w:w="2880" w:type="dxa"/>
            <w:tcBorders>
              <w:bottom w:val="single" w:sz="4" w:space="0" w:color="000000"/>
            </w:tcBorders>
            <w:shd w:val="clear" w:color="auto" w:fill="E7E6E6" w:themeFill="background2"/>
            <w:vAlign w:val="center"/>
          </w:tcPr>
          <w:p w14:paraId="6C7AB587" w14:textId="77777777" w:rsidR="006B6001" w:rsidRPr="00051704" w:rsidRDefault="006B6001" w:rsidP="00051704">
            <w:r w:rsidRPr="00051704">
              <w:lastRenderedPageBreak/>
              <w:t xml:space="preserve">Clear Vision "Shaping the Future": WPS Photo Gallery on UNSCR 1325, through a landing page under the JNCW Website, a gallery will be hosted, aiming to curate a compelling narrative through an extensive collection of 200 high-quality photographs. By professional photographers will portray various aspects of women's roles in peacebuilding, showcasing their transformative actions and invaluable contributions to peace and security efforts in Jordan under UNSCR 1325. This collection will highlight significant moments and achievements and the diverse individuals and communities involved in these initiatives. Detailed captions will accompany every photo, including the specific dates when they were taken and the photographers' names, providing context and acknowledgment for their </w:t>
            </w:r>
            <w:r w:rsidRPr="00051704">
              <w:lastRenderedPageBreak/>
              <w:t xml:space="preserve">work. This gallery aims to visually narrate the stories, challenges, and triumphs within the WPS and UNSCR 1325 framework, offering viewers a deep and nuanced understanding of these critical issues. Furthermore, a dedicated section will showcase 20 change stories within the project, offering a compelling testament to the transformative power and impact of women's involvement in peacebuilding initiatives. These narratives will vividly illustrate the strength of the project and its profound effects on shaping peaceful and secure societies. The website will also include a summary of the first and second phases of the project, along with any related documents and materials such as strategic plans. Additionally, it will provide space for showcasing videos that are either being developed or have been developed during the project. We will procure the services of a specialized company to develop the landing web page, establish the foundational web structure, and subsequently </w:t>
            </w:r>
            <w:r w:rsidRPr="00051704">
              <w:lastRenderedPageBreak/>
              <w:t>provide them with content for implementation.</w:t>
            </w:r>
          </w:p>
        </w:tc>
        <w:tc>
          <w:tcPr>
            <w:tcW w:w="2430" w:type="dxa"/>
            <w:shd w:val="clear" w:color="auto" w:fill="auto"/>
            <w:vAlign w:val="center"/>
          </w:tcPr>
          <w:p w14:paraId="3A92FE6B" w14:textId="77777777" w:rsidR="006B6001" w:rsidRPr="00051704" w:rsidRDefault="006B6001" w:rsidP="00051704"/>
          <w:p w14:paraId="34372ACF" w14:textId="77777777" w:rsidR="006B6001" w:rsidRPr="00051704" w:rsidRDefault="006B6001" w:rsidP="00051704">
            <w:r w:rsidRPr="00051704">
              <w:t>Work on the gallery will commence in Dec Q4 2024, and launch in the annual forum scheduled for Oct Q4 2025</w:t>
            </w:r>
          </w:p>
        </w:tc>
      </w:tr>
      <w:tr w:rsidR="006B6001" w:rsidRPr="00051704" w14:paraId="09EF33C0" w14:textId="77777777" w:rsidTr="00030BF3">
        <w:trPr>
          <w:trHeight w:val="522"/>
        </w:trPr>
        <w:tc>
          <w:tcPr>
            <w:tcW w:w="507" w:type="dxa"/>
            <w:shd w:val="clear" w:color="auto" w:fill="auto"/>
            <w:vAlign w:val="center"/>
          </w:tcPr>
          <w:p w14:paraId="2A84283B" w14:textId="77777777" w:rsidR="006B6001" w:rsidRPr="00051704" w:rsidRDefault="006B6001" w:rsidP="00051704">
            <w:pPr>
              <w:rPr>
                <w:b/>
                <w:rtl/>
              </w:rPr>
            </w:pPr>
            <w:r w:rsidRPr="00051704">
              <w:rPr>
                <w:b/>
              </w:rPr>
              <w:lastRenderedPageBreak/>
              <w:t>8</w:t>
            </w:r>
          </w:p>
        </w:tc>
        <w:tc>
          <w:tcPr>
            <w:tcW w:w="3060" w:type="dxa"/>
            <w:shd w:val="clear" w:color="auto" w:fill="auto"/>
            <w:vAlign w:val="center"/>
          </w:tcPr>
          <w:p w14:paraId="2F4DBC50" w14:textId="77777777" w:rsidR="006B6001" w:rsidRPr="00051704" w:rsidRDefault="006B6001" w:rsidP="00051704">
            <w:pPr>
              <w:rPr>
                <w:bCs/>
              </w:rPr>
            </w:pPr>
            <w:r w:rsidRPr="00051704">
              <w:rPr>
                <w:bCs/>
              </w:rPr>
              <w:t>-</w:t>
            </w:r>
            <w:r w:rsidRPr="00051704">
              <w:rPr>
                <w:bCs/>
              </w:rPr>
              <w:tab/>
              <w:t>Empowering young women to pursue careers in the peace, security, diplomatic, and justice sectors through messages that combat misogyny, gender inequality, and harmful norms.</w:t>
            </w:r>
          </w:p>
          <w:p w14:paraId="543E1231" w14:textId="77777777" w:rsidR="006B6001" w:rsidRPr="00051704" w:rsidRDefault="006B6001" w:rsidP="00051704">
            <w:pPr>
              <w:rPr>
                <w:bCs/>
              </w:rPr>
            </w:pPr>
            <w:r w:rsidRPr="00051704">
              <w:rPr>
                <w:bCs/>
              </w:rPr>
              <w:t>-</w:t>
            </w:r>
            <w:r w:rsidRPr="00051704">
              <w:rPr>
                <w:bCs/>
              </w:rPr>
              <w:tab/>
              <w:t>Highlighting the root causes of gender-based violence as well as the service infrastructure available for women and girls at risk of or survivors of such violence.</w:t>
            </w:r>
          </w:p>
          <w:p w14:paraId="6C4CC66D" w14:textId="77777777" w:rsidR="006B6001" w:rsidRPr="00051704" w:rsidRDefault="006B6001" w:rsidP="00051704">
            <w:pPr>
              <w:rPr>
                <w:bCs/>
              </w:rPr>
            </w:pPr>
            <w:r w:rsidRPr="00051704">
              <w:rPr>
                <w:bCs/>
              </w:rPr>
              <w:t>-</w:t>
            </w:r>
            <w:r w:rsidRPr="00051704">
              <w:rPr>
                <w:bCs/>
              </w:rPr>
              <w:tab/>
              <w:t>Leveraging (and creating) platforms that allow the voices of women and girls to be communicated and amplified.</w:t>
            </w:r>
          </w:p>
          <w:p w14:paraId="586541A0" w14:textId="77777777" w:rsidR="006B6001" w:rsidRPr="00051704" w:rsidRDefault="006B6001" w:rsidP="00051704">
            <w:pPr>
              <w:rPr>
                <w:bCs/>
              </w:rPr>
            </w:pPr>
            <w:r w:rsidRPr="00051704">
              <w:rPr>
                <w:bCs/>
              </w:rPr>
              <w:t>-</w:t>
            </w:r>
            <w:r w:rsidRPr="00051704">
              <w:rPr>
                <w:bCs/>
              </w:rPr>
              <w:tab/>
              <w:t>Positioning the fight to end gender-based violence as a direct extension of overall efforts towards sustainable peace and security.</w:t>
            </w:r>
          </w:p>
          <w:p w14:paraId="3F93850C" w14:textId="77777777" w:rsidR="006B6001" w:rsidRPr="00051704" w:rsidRDefault="006B6001" w:rsidP="00051704">
            <w:pPr>
              <w:rPr>
                <w:bCs/>
              </w:rPr>
            </w:pPr>
            <w:r w:rsidRPr="00051704">
              <w:rPr>
                <w:bCs/>
              </w:rPr>
              <w:t>-</w:t>
            </w:r>
            <w:r w:rsidRPr="00051704">
              <w:rPr>
                <w:bCs/>
              </w:rPr>
              <w:tab/>
              <w:t>Highlighting access to services as an unassailable human right and a key stepping-stone to greater development and more lasting peace and security.</w:t>
            </w:r>
          </w:p>
          <w:p w14:paraId="1963E2BF" w14:textId="77777777" w:rsidR="006B6001" w:rsidRPr="00051704" w:rsidRDefault="006B6001" w:rsidP="00051704">
            <w:pPr>
              <w:rPr>
                <w:bCs/>
              </w:rPr>
            </w:pPr>
            <w:r w:rsidRPr="00051704">
              <w:rPr>
                <w:bCs/>
              </w:rPr>
              <w:t>-</w:t>
            </w:r>
            <w:r w:rsidRPr="00051704">
              <w:rPr>
                <w:bCs/>
              </w:rPr>
              <w:tab/>
              <w:t xml:space="preserve">Increasing awareness among women and girls on the services available to them and the </w:t>
            </w:r>
            <w:r w:rsidRPr="00051704">
              <w:rPr>
                <w:bCs/>
              </w:rPr>
              <w:lastRenderedPageBreak/>
              <w:t>impact they have on the lives of communities throughout Jordan.</w:t>
            </w:r>
          </w:p>
        </w:tc>
        <w:tc>
          <w:tcPr>
            <w:tcW w:w="2610" w:type="dxa"/>
            <w:shd w:val="clear" w:color="auto" w:fill="auto"/>
            <w:vAlign w:val="center"/>
          </w:tcPr>
          <w:p w14:paraId="67C85EC3" w14:textId="77777777" w:rsidR="006B6001" w:rsidRPr="00051704" w:rsidRDefault="006B6001" w:rsidP="00051704">
            <w:pPr>
              <w:rPr>
                <w:bCs/>
              </w:rPr>
            </w:pPr>
            <w:r w:rsidRPr="00051704">
              <w:rPr>
                <w:bCs/>
              </w:rPr>
              <w:lastRenderedPageBreak/>
              <w:t>•Government officials, professionals, and decision-makers in the security, military, diplomatic, and justice sectors, including the United Nations.</w:t>
            </w:r>
          </w:p>
          <w:p w14:paraId="0CE8603F" w14:textId="77777777" w:rsidR="006B6001" w:rsidRPr="00051704" w:rsidRDefault="006B6001" w:rsidP="00051704">
            <w:pPr>
              <w:rPr>
                <w:bCs/>
              </w:rPr>
            </w:pPr>
            <w:r w:rsidRPr="00051704">
              <w:rPr>
                <w:bCs/>
              </w:rPr>
              <w:t>•Women leaders and women-led organizations and women in prominent roles</w:t>
            </w:r>
          </w:p>
          <w:p w14:paraId="49C0F899" w14:textId="77777777" w:rsidR="006B6001" w:rsidRPr="00051704" w:rsidRDefault="006B6001" w:rsidP="00051704">
            <w:pPr>
              <w:rPr>
                <w:bCs/>
              </w:rPr>
            </w:pPr>
            <w:r w:rsidRPr="00051704">
              <w:rPr>
                <w:bCs/>
              </w:rPr>
              <w:t>•Social media/opinion influencers.</w:t>
            </w:r>
          </w:p>
          <w:p w14:paraId="0B0DE9C4" w14:textId="77777777" w:rsidR="006B6001" w:rsidRPr="00051704" w:rsidRDefault="006B6001" w:rsidP="00051704">
            <w:pPr>
              <w:rPr>
                <w:bCs/>
              </w:rPr>
            </w:pPr>
            <w:r w:rsidRPr="00051704">
              <w:rPr>
                <w:bCs/>
              </w:rPr>
              <w:t>•Policy and decision makers.</w:t>
            </w:r>
          </w:p>
          <w:p w14:paraId="2FCDB210" w14:textId="77777777" w:rsidR="006B6001" w:rsidRPr="00051704" w:rsidRDefault="006B6001" w:rsidP="00051704">
            <w:pPr>
              <w:rPr>
                <w:bCs/>
              </w:rPr>
            </w:pPr>
            <w:r w:rsidRPr="00051704">
              <w:rPr>
                <w:bCs/>
              </w:rPr>
              <w:t>•Media professionals, journalists and media outlets.</w:t>
            </w:r>
          </w:p>
          <w:p w14:paraId="0134C996" w14:textId="77777777" w:rsidR="006B6001" w:rsidRPr="00051704" w:rsidRDefault="006B6001" w:rsidP="00051704">
            <w:pPr>
              <w:rPr>
                <w:bCs/>
              </w:rPr>
            </w:pPr>
            <w:r w:rsidRPr="00051704">
              <w:rPr>
                <w:bCs/>
              </w:rPr>
              <w:t>•Adolescent girls and young women.</w:t>
            </w:r>
          </w:p>
          <w:p w14:paraId="612634B1" w14:textId="77777777" w:rsidR="006B6001" w:rsidRPr="00051704" w:rsidRDefault="006B6001" w:rsidP="00051704">
            <w:pPr>
              <w:rPr>
                <w:bCs/>
              </w:rPr>
            </w:pPr>
            <w:r w:rsidRPr="00051704">
              <w:rPr>
                <w:bCs/>
              </w:rPr>
              <w:t>•Women and girls from marginalized groups.</w:t>
            </w:r>
          </w:p>
          <w:p w14:paraId="11C042CC" w14:textId="77777777" w:rsidR="006B6001" w:rsidRPr="00051704" w:rsidRDefault="006B6001" w:rsidP="00051704">
            <w:pPr>
              <w:rPr>
                <w:bCs/>
              </w:rPr>
            </w:pPr>
            <w:r w:rsidRPr="00051704">
              <w:rPr>
                <w:bCs/>
              </w:rPr>
              <w:t>•Civil society organizations (CSOs).</w:t>
            </w:r>
          </w:p>
          <w:p w14:paraId="17CF388B" w14:textId="77777777" w:rsidR="006B6001" w:rsidRPr="00051704" w:rsidRDefault="006B6001" w:rsidP="00051704">
            <w:pPr>
              <w:rPr>
                <w:bCs/>
              </w:rPr>
            </w:pPr>
            <w:r w:rsidRPr="00051704">
              <w:rPr>
                <w:bCs/>
              </w:rPr>
              <w:t>•Students, educational institutions, and teachers.</w:t>
            </w:r>
          </w:p>
          <w:p w14:paraId="03B8FB53" w14:textId="77777777" w:rsidR="006B6001" w:rsidRPr="00051704" w:rsidRDefault="006B6001" w:rsidP="00051704">
            <w:pPr>
              <w:rPr>
                <w:bCs/>
              </w:rPr>
            </w:pPr>
            <w:r w:rsidRPr="00051704">
              <w:rPr>
                <w:bCs/>
              </w:rPr>
              <w:t>•Religious and community leaders</w:t>
            </w:r>
          </w:p>
          <w:p w14:paraId="6A8E55EC" w14:textId="77777777" w:rsidR="006B6001" w:rsidRPr="00051704" w:rsidRDefault="006B6001" w:rsidP="00051704">
            <w:pPr>
              <w:rPr>
                <w:bCs/>
              </w:rPr>
            </w:pPr>
            <w:r w:rsidRPr="00051704">
              <w:rPr>
                <w:bCs/>
              </w:rPr>
              <w:lastRenderedPageBreak/>
              <w:t>•Men and boys.</w:t>
            </w:r>
          </w:p>
          <w:p w14:paraId="71833678" w14:textId="77777777" w:rsidR="006B6001" w:rsidRPr="00051704" w:rsidRDefault="006B6001" w:rsidP="00051704">
            <w:pPr>
              <w:rPr>
                <w:b/>
              </w:rPr>
            </w:pPr>
            <w:r w:rsidRPr="00051704">
              <w:rPr>
                <w:bCs/>
              </w:rPr>
              <w:t>Service providers and the public</w:t>
            </w:r>
          </w:p>
        </w:tc>
        <w:tc>
          <w:tcPr>
            <w:tcW w:w="2880" w:type="dxa"/>
            <w:shd w:val="clear" w:color="auto" w:fill="E7E6E6" w:themeFill="background2"/>
            <w:vAlign w:val="center"/>
          </w:tcPr>
          <w:p w14:paraId="51CD7D79" w14:textId="77777777" w:rsidR="006B6001" w:rsidRPr="00051704" w:rsidRDefault="006B6001" w:rsidP="00051704">
            <w:r w:rsidRPr="00051704">
              <w:rPr>
                <w:b/>
                <w:bCs/>
              </w:rPr>
              <w:lastRenderedPageBreak/>
              <w:t>Four Short Videos</w:t>
            </w:r>
            <w:r w:rsidRPr="00051704">
              <w:t xml:space="preserve"> featuring personal stories of survivors, each not exceeding a duration of one and a half minutes. These videos are aimed at raising awareness about how to prevent gender-based violence and protect individuals from sexual violence, two videos capturing change stories, individual and community. One video capturing institutional changes and another one on 1325 coalition journey. They will provide valuable information on resources, rights, and actions that can be taken to foster a safer environment for everyone. The videos will be showcased on social media platforms and featured on the dedicated website to be created. Furthermore, two of these videos will be selected for presentation, one at the annual forum in 2024 and the other in 2025.</w:t>
            </w:r>
          </w:p>
        </w:tc>
        <w:tc>
          <w:tcPr>
            <w:tcW w:w="2430" w:type="dxa"/>
            <w:shd w:val="clear" w:color="auto" w:fill="auto"/>
            <w:vAlign w:val="center"/>
          </w:tcPr>
          <w:p w14:paraId="535369BE" w14:textId="77777777" w:rsidR="006B6001" w:rsidRPr="00051704" w:rsidRDefault="006B6001" w:rsidP="00051704">
            <w:r w:rsidRPr="00051704">
              <w:t>- 2 Videos in Sep Q3 2024</w:t>
            </w:r>
          </w:p>
          <w:p w14:paraId="420C6F3F" w14:textId="77777777" w:rsidR="006B6001" w:rsidRPr="00051704" w:rsidRDefault="006B6001" w:rsidP="00051704"/>
          <w:p w14:paraId="721499D4" w14:textId="77777777" w:rsidR="006B6001" w:rsidRPr="00051704" w:rsidRDefault="006B6001" w:rsidP="00051704">
            <w:r w:rsidRPr="00051704">
              <w:t>- 2 Videos in Sep Q3 2025</w:t>
            </w:r>
          </w:p>
        </w:tc>
      </w:tr>
    </w:tbl>
    <w:p w14:paraId="7B81D701" w14:textId="77777777" w:rsidR="00051704" w:rsidRDefault="00051704" w:rsidP="00051704"/>
    <w:p w14:paraId="4D16218C" w14:textId="13C6029C" w:rsidR="00CF2BFA" w:rsidRDefault="00CF2BFA"/>
    <w:p w14:paraId="7F070E63" w14:textId="7A715065" w:rsidR="00CF2BFA" w:rsidRPr="00CF2BFA" w:rsidRDefault="00CF2BFA" w:rsidP="00CF2BFA">
      <w:pPr>
        <w:sectPr w:rsidR="00CF2BFA" w:rsidRPr="00CF2BFA">
          <w:pgSz w:w="15840" w:h="12240" w:orient="landscape"/>
          <w:pgMar w:top="1340" w:right="500" w:bottom="920" w:left="520" w:header="776" w:footer="739" w:gutter="0"/>
          <w:cols w:space="720"/>
        </w:sectPr>
      </w:pPr>
    </w:p>
    <w:p w14:paraId="4CBFF0F6" w14:textId="5B786748" w:rsidR="00051704" w:rsidRPr="00051704" w:rsidRDefault="00051704" w:rsidP="00AB6863">
      <w:pPr>
        <w:ind w:left="720"/>
        <w:rPr>
          <w:b/>
        </w:rPr>
      </w:pPr>
      <w:r w:rsidRPr="00051704">
        <w:rPr>
          <w:b/>
        </w:rPr>
        <w:lastRenderedPageBreak/>
        <w:t>Timeframe Table of JONAP II Communication</w:t>
      </w:r>
      <w:r w:rsidR="0016764B">
        <w:rPr>
          <w:b/>
        </w:rPr>
        <w:t xml:space="preserve">s </w:t>
      </w:r>
      <w:r w:rsidRPr="00051704">
        <w:rPr>
          <w:b/>
        </w:rPr>
        <w:t>Activities:</w:t>
      </w:r>
    </w:p>
    <w:tbl>
      <w:tblPr>
        <w:tblStyle w:val="TableGrid"/>
        <w:tblW w:w="13500" w:type="dxa"/>
        <w:jc w:val="center"/>
        <w:tblLayout w:type="fixed"/>
        <w:tblLook w:val="04A0" w:firstRow="1" w:lastRow="0" w:firstColumn="1" w:lastColumn="0" w:noHBand="0" w:noVBand="1"/>
      </w:tblPr>
      <w:tblGrid>
        <w:gridCol w:w="2250"/>
        <w:gridCol w:w="540"/>
        <w:gridCol w:w="630"/>
        <w:gridCol w:w="630"/>
        <w:gridCol w:w="540"/>
        <w:gridCol w:w="630"/>
        <w:gridCol w:w="630"/>
        <w:gridCol w:w="630"/>
        <w:gridCol w:w="630"/>
        <w:gridCol w:w="630"/>
        <w:gridCol w:w="630"/>
        <w:gridCol w:w="630"/>
        <w:gridCol w:w="540"/>
        <w:gridCol w:w="540"/>
        <w:gridCol w:w="720"/>
        <w:gridCol w:w="630"/>
        <w:gridCol w:w="720"/>
        <w:gridCol w:w="720"/>
        <w:gridCol w:w="630"/>
      </w:tblGrid>
      <w:tr w:rsidR="00051704" w:rsidRPr="00051704" w14:paraId="4F71525D" w14:textId="77777777" w:rsidTr="00AB6863">
        <w:trPr>
          <w:jc w:val="center"/>
        </w:trPr>
        <w:tc>
          <w:tcPr>
            <w:tcW w:w="2250" w:type="dxa"/>
            <w:vMerge w:val="restart"/>
            <w:shd w:val="clear" w:color="auto" w:fill="F2F2F2" w:themeFill="background1" w:themeFillShade="F2"/>
            <w:vAlign w:val="center"/>
          </w:tcPr>
          <w:p w14:paraId="7A8BF716" w14:textId="77777777" w:rsidR="00051704" w:rsidRPr="00051704" w:rsidRDefault="00051704" w:rsidP="00051704">
            <w:pPr>
              <w:widowControl/>
              <w:autoSpaceDE/>
              <w:autoSpaceDN/>
              <w:spacing w:after="160" w:line="259" w:lineRule="auto"/>
              <w:rPr>
                <w:b/>
              </w:rPr>
            </w:pPr>
            <w:r w:rsidRPr="00051704">
              <w:rPr>
                <w:b/>
              </w:rPr>
              <w:t>Activity</w:t>
            </w:r>
          </w:p>
        </w:tc>
        <w:tc>
          <w:tcPr>
            <w:tcW w:w="3600" w:type="dxa"/>
            <w:gridSpan w:val="6"/>
            <w:shd w:val="clear" w:color="auto" w:fill="F2F2F2" w:themeFill="background1" w:themeFillShade="F2"/>
          </w:tcPr>
          <w:p w14:paraId="66931282" w14:textId="77777777" w:rsidR="00051704" w:rsidRPr="00051704" w:rsidRDefault="00051704" w:rsidP="00802750">
            <w:pPr>
              <w:widowControl/>
              <w:autoSpaceDE/>
              <w:autoSpaceDN/>
              <w:spacing w:after="160" w:line="259" w:lineRule="auto"/>
              <w:jc w:val="center"/>
              <w:rPr>
                <w:b/>
              </w:rPr>
            </w:pPr>
            <w:r w:rsidRPr="00051704">
              <w:rPr>
                <w:b/>
              </w:rPr>
              <w:t>2024</w:t>
            </w:r>
          </w:p>
        </w:tc>
        <w:tc>
          <w:tcPr>
            <w:tcW w:w="7650" w:type="dxa"/>
            <w:gridSpan w:val="12"/>
            <w:shd w:val="clear" w:color="auto" w:fill="F2F2F2" w:themeFill="background1" w:themeFillShade="F2"/>
          </w:tcPr>
          <w:p w14:paraId="3339E775" w14:textId="77777777" w:rsidR="00051704" w:rsidRPr="00051704" w:rsidRDefault="00051704" w:rsidP="005015FE">
            <w:pPr>
              <w:widowControl/>
              <w:autoSpaceDE/>
              <w:autoSpaceDN/>
              <w:spacing w:after="160" w:line="259" w:lineRule="auto"/>
              <w:jc w:val="center"/>
              <w:rPr>
                <w:b/>
              </w:rPr>
            </w:pPr>
            <w:r w:rsidRPr="00051704">
              <w:rPr>
                <w:b/>
              </w:rPr>
              <w:t>2025</w:t>
            </w:r>
          </w:p>
        </w:tc>
      </w:tr>
      <w:tr w:rsidR="00AB6863" w:rsidRPr="00051704" w14:paraId="318B6E92" w14:textId="77777777" w:rsidTr="00AB6863">
        <w:trPr>
          <w:jc w:val="center"/>
        </w:trPr>
        <w:tc>
          <w:tcPr>
            <w:tcW w:w="2250" w:type="dxa"/>
            <w:vMerge/>
            <w:shd w:val="clear" w:color="auto" w:fill="F2F2F2" w:themeFill="background1" w:themeFillShade="F2"/>
          </w:tcPr>
          <w:p w14:paraId="497191FA" w14:textId="77777777" w:rsidR="00825393" w:rsidRPr="00051704" w:rsidRDefault="00825393" w:rsidP="00051704">
            <w:pPr>
              <w:widowControl/>
              <w:autoSpaceDE/>
              <w:autoSpaceDN/>
              <w:spacing w:after="160" w:line="259" w:lineRule="auto"/>
              <w:rPr>
                <w:b/>
              </w:rPr>
            </w:pPr>
          </w:p>
        </w:tc>
        <w:tc>
          <w:tcPr>
            <w:tcW w:w="540" w:type="dxa"/>
            <w:shd w:val="clear" w:color="auto" w:fill="F2F2F2" w:themeFill="background1" w:themeFillShade="F2"/>
          </w:tcPr>
          <w:p w14:paraId="6976CD39" w14:textId="77777777" w:rsidR="00825393" w:rsidRPr="00051704" w:rsidRDefault="00825393" w:rsidP="00051704">
            <w:pPr>
              <w:widowControl/>
              <w:autoSpaceDE/>
              <w:autoSpaceDN/>
              <w:spacing w:after="160" w:line="259" w:lineRule="auto"/>
              <w:rPr>
                <w:b/>
              </w:rPr>
            </w:pPr>
            <w:r w:rsidRPr="00051704">
              <w:rPr>
                <w:b/>
              </w:rPr>
              <w:t>Jul</w:t>
            </w:r>
          </w:p>
        </w:tc>
        <w:tc>
          <w:tcPr>
            <w:tcW w:w="630" w:type="dxa"/>
            <w:shd w:val="clear" w:color="auto" w:fill="F2F2F2" w:themeFill="background1" w:themeFillShade="F2"/>
          </w:tcPr>
          <w:p w14:paraId="0DABF381" w14:textId="77777777" w:rsidR="00825393" w:rsidRPr="00051704" w:rsidRDefault="00825393" w:rsidP="00051704">
            <w:pPr>
              <w:widowControl/>
              <w:autoSpaceDE/>
              <w:autoSpaceDN/>
              <w:spacing w:after="160" w:line="259" w:lineRule="auto"/>
              <w:rPr>
                <w:b/>
              </w:rPr>
            </w:pPr>
            <w:r w:rsidRPr="00051704">
              <w:rPr>
                <w:b/>
              </w:rPr>
              <w:t>Aug</w:t>
            </w:r>
          </w:p>
        </w:tc>
        <w:tc>
          <w:tcPr>
            <w:tcW w:w="630" w:type="dxa"/>
            <w:shd w:val="clear" w:color="auto" w:fill="F2F2F2" w:themeFill="background1" w:themeFillShade="F2"/>
          </w:tcPr>
          <w:p w14:paraId="18A94FA4" w14:textId="77777777" w:rsidR="00825393" w:rsidRPr="00051704" w:rsidRDefault="00825393" w:rsidP="00051704">
            <w:pPr>
              <w:widowControl/>
              <w:autoSpaceDE/>
              <w:autoSpaceDN/>
              <w:spacing w:after="160" w:line="259" w:lineRule="auto"/>
              <w:rPr>
                <w:b/>
              </w:rPr>
            </w:pPr>
            <w:r w:rsidRPr="00051704">
              <w:rPr>
                <w:b/>
              </w:rPr>
              <w:t>Sep</w:t>
            </w:r>
          </w:p>
        </w:tc>
        <w:tc>
          <w:tcPr>
            <w:tcW w:w="540" w:type="dxa"/>
            <w:shd w:val="clear" w:color="auto" w:fill="F2F2F2" w:themeFill="background1" w:themeFillShade="F2"/>
          </w:tcPr>
          <w:p w14:paraId="32610DC3" w14:textId="77777777" w:rsidR="00825393" w:rsidRPr="00051704" w:rsidRDefault="00825393" w:rsidP="00051704">
            <w:pPr>
              <w:widowControl/>
              <w:autoSpaceDE/>
              <w:autoSpaceDN/>
              <w:spacing w:after="160" w:line="259" w:lineRule="auto"/>
              <w:rPr>
                <w:b/>
              </w:rPr>
            </w:pPr>
            <w:r w:rsidRPr="00051704">
              <w:rPr>
                <w:b/>
              </w:rPr>
              <w:t>Oct</w:t>
            </w:r>
          </w:p>
        </w:tc>
        <w:tc>
          <w:tcPr>
            <w:tcW w:w="630" w:type="dxa"/>
            <w:shd w:val="clear" w:color="auto" w:fill="F2F2F2" w:themeFill="background1" w:themeFillShade="F2"/>
          </w:tcPr>
          <w:p w14:paraId="5059BABF" w14:textId="77777777" w:rsidR="00825393" w:rsidRPr="00051704" w:rsidRDefault="00825393" w:rsidP="00051704">
            <w:pPr>
              <w:widowControl/>
              <w:autoSpaceDE/>
              <w:autoSpaceDN/>
              <w:spacing w:after="160" w:line="259" w:lineRule="auto"/>
              <w:rPr>
                <w:b/>
              </w:rPr>
            </w:pPr>
            <w:r w:rsidRPr="00051704">
              <w:rPr>
                <w:b/>
              </w:rPr>
              <w:t>Nov</w:t>
            </w:r>
          </w:p>
        </w:tc>
        <w:tc>
          <w:tcPr>
            <w:tcW w:w="630" w:type="dxa"/>
            <w:shd w:val="clear" w:color="auto" w:fill="F2F2F2" w:themeFill="background1" w:themeFillShade="F2"/>
          </w:tcPr>
          <w:p w14:paraId="1D5E011D" w14:textId="77777777" w:rsidR="00825393" w:rsidRPr="00051704" w:rsidRDefault="00825393" w:rsidP="00051704">
            <w:pPr>
              <w:widowControl/>
              <w:autoSpaceDE/>
              <w:autoSpaceDN/>
              <w:spacing w:after="160" w:line="259" w:lineRule="auto"/>
              <w:rPr>
                <w:b/>
              </w:rPr>
            </w:pPr>
            <w:r w:rsidRPr="00051704">
              <w:rPr>
                <w:b/>
              </w:rPr>
              <w:t>Dec</w:t>
            </w:r>
          </w:p>
        </w:tc>
        <w:tc>
          <w:tcPr>
            <w:tcW w:w="630" w:type="dxa"/>
            <w:shd w:val="clear" w:color="auto" w:fill="F2F2F2" w:themeFill="background1" w:themeFillShade="F2"/>
          </w:tcPr>
          <w:p w14:paraId="3A5D7334" w14:textId="77777777" w:rsidR="00825393" w:rsidRPr="00051704" w:rsidRDefault="00825393" w:rsidP="00051704">
            <w:pPr>
              <w:widowControl/>
              <w:autoSpaceDE/>
              <w:autoSpaceDN/>
              <w:spacing w:after="160" w:line="259" w:lineRule="auto"/>
              <w:rPr>
                <w:b/>
              </w:rPr>
            </w:pPr>
            <w:r w:rsidRPr="00051704">
              <w:rPr>
                <w:b/>
              </w:rPr>
              <w:t>Jan</w:t>
            </w:r>
          </w:p>
        </w:tc>
        <w:tc>
          <w:tcPr>
            <w:tcW w:w="630" w:type="dxa"/>
            <w:shd w:val="clear" w:color="auto" w:fill="F2F2F2" w:themeFill="background1" w:themeFillShade="F2"/>
          </w:tcPr>
          <w:p w14:paraId="2E19582D" w14:textId="77777777" w:rsidR="00825393" w:rsidRPr="00051704" w:rsidRDefault="00825393" w:rsidP="00051704">
            <w:pPr>
              <w:widowControl/>
              <w:autoSpaceDE/>
              <w:autoSpaceDN/>
              <w:spacing w:after="160" w:line="259" w:lineRule="auto"/>
              <w:rPr>
                <w:b/>
              </w:rPr>
            </w:pPr>
            <w:r w:rsidRPr="00051704">
              <w:rPr>
                <w:b/>
              </w:rPr>
              <w:t>Feb</w:t>
            </w:r>
          </w:p>
        </w:tc>
        <w:tc>
          <w:tcPr>
            <w:tcW w:w="630" w:type="dxa"/>
            <w:shd w:val="clear" w:color="auto" w:fill="F2F2F2" w:themeFill="background1" w:themeFillShade="F2"/>
          </w:tcPr>
          <w:p w14:paraId="1D58785D" w14:textId="77777777" w:rsidR="00825393" w:rsidRPr="00051704" w:rsidRDefault="00825393" w:rsidP="00051704">
            <w:pPr>
              <w:widowControl/>
              <w:autoSpaceDE/>
              <w:autoSpaceDN/>
              <w:spacing w:after="160" w:line="259" w:lineRule="auto"/>
              <w:rPr>
                <w:b/>
              </w:rPr>
            </w:pPr>
            <w:r w:rsidRPr="00051704">
              <w:rPr>
                <w:b/>
              </w:rPr>
              <w:t>Mar</w:t>
            </w:r>
          </w:p>
        </w:tc>
        <w:tc>
          <w:tcPr>
            <w:tcW w:w="630" w:type="dxa"/>
            <w:shd w:val="clear" w:color="auto" w:fill="F2F2F2" w:themeFill="background1" w:themeFillShade="F2"/>
          </w:tcPr>
          <w:p w14:paraId="660E3C3C" w14:textId="77777777" w:rsidR="00825393" w:rsidRPr="00051704" w:rsidRDefault="00825393" w:rsidP="00051704">
            <w:pPr>
              <w:widowControl/>
              <w:autoSpaceDE/>
              <w:autoSpaceDN/>
              <w:spacing w:after="160" w:line="259" w:lineRule="auto"/>
              <w:rPr>
                <w:b/>
              </w:rPr>
            </w:pPr>
            <w:r w:rsidRPr="00051704">
              <w:rPr>
                <w:b/>
              </w:rPr>
              <w:t>Apr</w:t>
            </w:r>
          </w:p>
        </w:tc>
        <w:tc>
          <w:tcPr>
            <w:tcW w:w="630" w:type="dxa"/>
            <w:shd w:val="clear" w:color="auto" w:fill="F2F2F2" w:themeFill="background1" w:themeFillShade="F2"/>
          </w:tcPr>
          <w:p w14:paraId="4B29A955" w14:textId="77777777" w:rsidR="00825393" w:rsidRPr="00051704" w:rsidRDefault="00825393" w:rsidP="00051704">
            <w:pPr>
              <w:widowControl/>
              <w:autoSpaceDE/>
              <w:autoSpaceDN/>
              <w:spacing w:after="160" w:line="259" w:lineRule="auto"/>
              <w:rPr>
                <w:b/>
              </w:rPr>
            </w:pPr>
            <w:r w:rsidRPr="00051704">
              <w:rPr>
                <w:b/>
              </w:rPr>
              <w:t>May</w:t>
            </w:r>
          </w:p>
        </w:tc>
        <w:tc>
          <w:tcPr>
            <w:tcW w:w="540" w:type="dxa"/>
            <w:shd w:val="clear" w:color="auto" w:fill="F2F2F2" w:themeFill="background1" w:themeFillShade="F2"/>
          </w:tcPr>
          <w:p w14:paraId="1851EC10" w14:textId="77777777" w:rsidR="00825393" w:rsidRPr="00051704" w:rsidRDefault="00825393" w:rsidP="00051704">
            <w:pPr>
              <w:widowControl/>
              <w:autoSpaceDE/>
              <w:autoSpaceDN/>
              <w:spacing w:after="160" w:line="259" w:lineRule="auto"/>
              <w:rPr>
                <w:b/>
              </w:rPr>
            </w:pPr>
            <w:r w:rsidRPr="00051704">
              <w:rPr>
                <w:b/>
              </w:rPr>
              <w:t>Jun</w:t>
            </w:r>
          </w:p>
        </w:tc>
        <w:tc>
          <w:tcPr>
            <w:tcW w:w="540" w:type="dxa"/>
            <w:shd w:val="clear" w:color="auto" w:fill="F2F2F2" w:themeFill="background1" w:themeFillShade="F2"/>
          </w:tcPr>
          <w:p w14:paraId="19D9CE8C" w14:textId="77777777" w:rsidR="00825393" w:rsidRPr="00051704" w:rsidRDefault="00825393" w:rsidP="00051704">
            <w:pPr>
              <w:widowControl/>
              <w:autoSpaceDE/>
              <w:autoSpaceDN/>
              <w:spacing w:after="160" w:line="259" w:lineRule="auto"/>
              <w:rPr>
                <w:b/>
              </w:rPr>
            </w:pPr>
            <w:r w:rsidRPr="00051704">
              <w:rPr>
                <w:b/>
              </w:rPr>
              <w:t>Jul</w:t>
            </w:r>
          </w:p>
        </w:tc>
        <w:tc>
          <w:tcPr>
            <w:tcW w:w="720" w:type="dxa"/>
            <w:shd w:val="clear" w:color="auto" w:fill="F2F2F2" w:themeFill="background1" w:themeFillShade="F2"/>
          </w:tcPr>
          <w:p w14:paraId="53D59531" w14:textId="77777777" w:rsidR="00825393" w:rsidRPr="00051704" w:rsidRDefault="00825393" w:rsidP="00051704">
            <w:pPr>
              <w:widowControl/>
              <w:autoSpaceDE/>
              <w:autoSpaceDN/>
              <w:spacing w:after="160" w:line="259" w:lineRule="auto"/>
              <w:rPr>
                <w:b/>
              </w:rPr>
            </w:pPr>
            <w:r w:rsidRPr="00051704">
              <w:rPr>
                <w:b/>
              </w:rPr>
              <w:t>Aug</w:t>
            </w:r>
          </w:p>
        </w:tc>
        <w:tc>
          <w:tcPr>
            <w:tcW w:w="630" w:type="dxa"/>
            <w:shd w:val="clear" w:color="auto" w:fill="F2F2F2" w:themeFill="background1" w:themeFillShade="F2"/>
          </w:tcPr>
          <w:p w14:paraId="43C96BD1" w14:textId="77777777" w:rsidR="00825393" w:rsidRPr="00051704" w:rsidRDefault="00825393" w:rsidP="00051704">
            <w:pPr>
              <w:widowControl/>
              <w:autoSpaceDE/>
              <w:autoSpaceDN/>
              <w:spacing w:after="160" w:line="259" w:lineRule="auto"/>
              <w:rPr>
                <w:b/>
              </w:rPr>
            </w:pPr>
            <w:r w:rsidRPr="00051704">
              <w:rPr>
                <w:b/>
              </w:rPr>
              <w:t>Sep</w:t>
            </w:r>
          </w:p>
        </w:tc>
        <w:tc>
          <w:tcPr>
            <w:tcW w:w="720" w:type="dxa"/>
            <w:shd w:val="clear" w:color="auto" w:fill="F2F2F2" w:themeFill="background1" w:themeFillShade="F2"/>
          </w:tcPr>
          <w:p w14:paraId="213A03CC" w14:textId="77777777" w:rsidR="00825393" w:rsidRPr="00051704" w:rsidRDefault="00825393" w:rsidP="00051704">
            <w:pPr>
              <w:widowControl/>
              <w:autoSpaceDE/>
              <w:autoSpaceDN/>
              <w:spacing w:after="160" w:line="259" w:lineRule="auto"/>
              <w:rPr>
                <w:b/>
              </w:rPr>
            </w:pPr>
            <w:r w:rsidRPr="00051704">
              <w:rPr>
                <w:b/>
              </w:rPr>
              <w:t>Oct</w:t>
            </w:r>
          </w:p>
        </w:tc>
        <w:tc>
          <w:tcPr>
            <w:tcW w:w="720" w:type="dxa"/>
            <w:shd w:val="clear" w:color="auto" w:fill="F2F2F2" w:themeFill="background1" w:themeFillShade="F2"/>
          </w:tcPr>
          <w:p w14:paraId="49B07EE7" w14:textId="77777777" w:rsidR="00825393" w:rsidRPr="00051704" w:rsidRDefault="00825393" w:rsidP="00051704">
            <w:pPr>
              <w:widowControl/>
              <w:autoSpaceDE/>
              <w:autoSpaceDN/>
              <w:spacing w:after="160" w:line="259" w:lineRule="auto"/>
              <w:rPr>
                <w:b/>
              </w:rPr>
            </w:pPr>
            <w:r w:rsidRPr="00051704">
              <w:rPr>
                <w:b/>
              </w:rPr>
              <w:t>Nov</w:t>
            </w:r>
          </w:p>
        </w:tc>
        <w:tc>
          <w:tcPr>
            <w:tcW w:w="630" w:type="dxa"/>
            <w:shd w:val="clear" w:color="auto" w:fill="F2F2F2" w:themeFill="background1" w:themeFillShade="F2"/>
          </w:tcPr>
          <w:p w14:paraId="13013CF0" w14:textId="77777777" w:rsidR="00825393" w:rsidRPr="00051704" w:rsidRDefault="00825393" w:rsidP="00051704">
            <w:pPr>
              <w:widowControl/>
              <w:autoSpaceDE/>
              <w:autoSpaceDN/>
              <w:spacing w:after="160" w:line="259" w:lineRule="auto"/>
              <w:rPr>
                <w:b/>
              </w:rPr>
            </w:pPr>
            <w:r w:rsidRPr="00051704">
              <w:rPr>
                <w:b/>
              </w:rPr>
              <w:t>Dec</w:t>
            </w:r>
          </w:p>
        </w:tc>
      </w:tr>
      <w:tr w:rsidR="00AB6863" w:rsidRPr="00051704" w14:paraId="319D37C1" w14:textId="77777777" w:rsidTr="00B120CF">
        <w:trPr>
          <w:trHeight w:val="567"/>
          <w:jc w:val="center"/>
        </w:trPr>
        <w:tc>
          <w:tcPr>
            <w:tcW w:w="2250" w:type="dxa"/>
            <w:shd w:val="clear" w:color="auto" w:fill="BFBFBF" w:themeFill="background1" w:themeFillShade="BF"/>
            <w:vAlign w:val="center"/>
          </w:tcPr>
          <w:p w14:paraId="4D1DB765" w14:textId="77777777" w:rsidR="00825393" w:rsidRPr="00051704" w:rsidRDefault="00825393" w:rsidP="00051704">
            <w:pPr>
              <w:widowControl/>
              <w:autoSpaceDE/>
              <w:autoSpaceDN/>
              <w:spacing w:after="160" w:line="259" w:lineRule="auto"/>
              <w:rPr>
                <w:b/>
              </w:rPr>
            </w:pPr>
            <w:r w:rsidRPr="00051704">
              <w:rPr>
                <w:b/>
              </w:rPr>
              <w:t>2 Annual Forums</w:t>
            </w:r>
          </w:p>
        </w:tc>
        <w:tc>
          <w:tcPr>
            <w:tcW w:w="540" w:type="dxa"/>
            <w:shd w:val="clear" w:color="auto" w:fill="F2F2F2" w:themeFill="background1" w:themeFillShade="F2"/>
            <w:vAlign w:val="center"/>
          </w:tcPr>
          <w:p w14:paraId="2F5896D4"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49EFCA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24EC6D8"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732F06D6"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E262CAF"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498D39F9"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49F5DDCC"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84ABADD"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5EFB5B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81BB41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9D93C3D"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3DE8AE20"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226CE3C8"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466B478C"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CA4A22C"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72EE436E"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399DBDCF"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38788EF" w14:textId="77777777" w:rsidR="00825393" w:rsidRPr="00051704" w:rsidRDefault="00825393" w:rsidP="00051704">
            <w:pPr>
              <w:widowControl/>
              <w:autoSpaceDE/>
              <w:autoSpaceDN/>
              <w:spacing w:after="160" w:line="259" w:lineRule="auto"/>
              <w:rPr>
                <w:b/>
                <w:bCs/>
              </w:rPr>
            </w:pPr>
          </w:p>
        </w:tc>
      </w:tr>
      <w:tr w:rsidR="00AB6863" w:rsidRPr="00051704" w14:paraId="792DB991" w14:textId="77777777" w:rsidTr="00B120CF">
        <w:trPr>
          <w:trHeight w:val="531"/>
          <w:jc w:val="center"/>
        </w:trPr>
        <w:tc>
          <w:tcPr>
            <w:tcW w:w="2250" w:type="dxa"/>
            <w:shd w:val="clear" w:color="auto" w:fill="767171" w:themeFill="background2" w:themeFillShade="80"/>
            <w:vAlign w:val="center"/>
          </w:tcPr>
          <w:p w14:paraId="7770B58F" w14:textId="77777777" w:rsidR="00825393" w:rsidRPr="00051704" w:rsidRDefault="00825393" w:rsidP="00051704">
            <w:pPr>
              <w:widowControl/>
              <w:autoSpaceDE/>
              <w:autoSpaceDN/>
              <w:spacing w:after="160" w:line="259" w:lineRule="auto"/>
              <w:rPr>
                <w:b/>
              </w:rPr>
            </w:pPr>
            <w:r w:rsidRPr="00051704">
              <w:rPr>
                <w:b/>
              </w:rPr>
              <w:t>Raising awareness campaign</w:t>
            </w:r>
          </w:p>
        </w:tc>
        <w:tc>
          <w:tcPr>
            <w:tcW w:w="540" w:type="dxa"/>
            <w:shd w:val="clear" w:color="auto" w:fill="F2F2F2" w:themeFill="background1" w:themeFillShade="F2"/>
            <w:vAlign w:val="center"/>
          </w:tcPr>
          <w:p w14:paraId="7F3926E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4E970CEA"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3D75D7A"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4829DD73"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09214D3D"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5D9CC313"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1F4864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CD0D5A4"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2A0F21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373F310"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24061CA"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6AF445F7"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382D0ECA"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339D312D"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3074645D" w14:textId="77777777" w:rsidR="00825393" w:rsidRPr="00051704" w:rsidRDefault="00825393" w:rsidP="00051704">
            <w:pPr>
              <w:widowControl/>
              <w:autoSpaceDE/>
              <w:autoSpaceDN/>
              <w:spacing w:after="160" w:line="259" w:lineRule="auto"/>
              <w:rPr>
                <w:b/>
                <w:bCs/>
              </w:rPr>
            </w:pPr>
          </w:p>
        </w:tc>
        <w:tc>
          <w:tcPr>
            <w:tcW w:w="720" w:type="dxa"/>
            <w:shd w:val="clear" w:color="auto" w:fill="767171" w:themeFill="background2" w:themeFillShade="80"/>
            <w:vAlign w:val="center"/>
          </w:tcPr>
          <w:p w14:paraId="7C3B1587" w14:textId="77777777" w:rsidR="00825393" w:rsidRPr="00051704" w:rsidRDefault="00825393" w:rsidP="00051704">
            <w:pPr>
              <w:widowControl/>
              <w:autoSpaceDE/>
              <w:autoSpaceDN/>
              <w:spacing w:after="160" w:line="259" w:lineRule="auto"/>
              <w:rPr>
                <w:b/>
                <w:bCs/>
              </w:rPr>
            </w:pPr>
          </w:p>
        </w:tc>
        <w:tc>
          <w:tcPr>
            <w:tcW w:w="720" w:type="dxa"/>
            <w:shd w:val="clear" w:color="auto" w:fill="767171" w:themeFill="background2" w:themeFillShade="80"/>
            <w:vAlign w:val="center"/>
          </w:tcPr>
          <w:p w14:paraId="01B5E2C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9C94375" w14:textId="77777777" w:rsidR="00825393" w:rsidRPr="00051704" w:rsidRDefault="00825393" w:rsidP="00051704">
            <w:pPr>
              <w:widowControl/>
              <w:autoSpaceDE/>
              <w:autoSpaceDN/>
              <w:spacing w:after="160" w:line="259" w:lineRule="auto"/>
              <w:rPr>
                <w:b/>
                <w:bCs/>
              </w:rPr>
            </w:pPr>
          </w:p>
        </w:tc>
      </w:tr>
      <w:tr w:rsidR="00AB6863" w:rsidRPr="00051704" w14:paraId="282B060E" w14:textId="77777777" w:rsidTr="00B120CF">
        <w:trPr>
          <w:trHeight w:val="531"/>
          <w:jc w:val="center"/>
        </w:trPr>
        <w:tc>
          <w:tcPr>
            <w:tcW w:w="2250" w:type="dxa"/>
            <w:shd w:val="clear" w:color="auto" w:fill="BFBFBF" w:themeFill="background1" w:themeFillShade="BF"/>
            <w:vAlign w:val="center"/>
          </w:tcPr>
          <w:p w14:paraId="6A34ED41" w14:textId="77777777" w:rsidR="00825393" w:rsidRPr="00051704" w:rsidRDefault="00825393" w:rsidP="00051704">
            <w:pPr>
              <w:widowControl/>
              <w:autoSpaceDE/>
              <w:autoSpaceDN/>
              <w:spacing w:after="160" w:line="259" w:lineRule="auto"/>
              <w:rPr>
                <w:b/>
              </w:rPr>
            </w:pPr>
            <w:r w:rsidRPr="00051704">
              <w:rPr>
                <w:b/>
              </w:rPr>
              <w:t>Communication and Media Working Group</w:t>
            </w:r>
          </w:p>
        </w:tc>
        <w:tc>
          <w:tcPr>
            <w:tcW w:w="540" w:type="dxa"/>
            <w:shd w:val="clear" w:color="auto" w:fill="F2F2F2" w:themeFill="background1" w:themeFillShade="F2"/>
            <w:vAlign w:val="center"/>
          </w:tcPr>
          <w:p w14:paraId="1CA9A58F" w14:textId="77777777" w:rsidR="00825393" w:rsidRPr="00051704" w:rsidRDefault="00825393" w:rsidP="00051704">
            <w:pPr>
              <w:widowControl/>
              <w:autoSpaceDE/>
              <w:autoSpaceDN/>
              <w:spacing w:after="160" w:line="259" w:lineRule="auto"/>
              <w:rPr>
                <w:b/>
                <w:bCs/>
              </w:rPr>
            </w:pPr>
          </w:p>
        </w:tc>
        <w:tc>
          <w:tcPr>
            <w:tcW w:w="630" w:type="dxa"/>
            <w:shd w:val="clear" w:color="auto" w:fill="808080" w:themeFill="background1" w:themeFillShade="80"/>
            <w:vAlign w:val="center"/>
          </w:tcPr>
          <w:p w14:paraId="33410E01"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61C318E6"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149F15E9"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361843C4"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5BEC91EA"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1DA6A470"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1CFF1BC8"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01D978E3"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0EFF5CE8"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759BEBD9"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79B3E42E"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0545BEC3"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5FB3F0AA"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1524A1F2"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396581E1"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06345ABA"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218937B6" w14:textId="77777777" w:rsidR="00825393" w:rsidRPr="00051704" w:rsidRDefault="00825393" w:rsidP="00051704">
            <w:pPr>
              <w:widowControl/>
              <w:autoSpaceDE/>
              <w:autoSpaceDN/>
              <w:spacing w:after="160" w:line="259" w:lineRule="auto"/>
              <w:rPr>
                <w:b/>
                <w:bCs/>
              </w:rPr>
            </w:pPr>
          </w:p>
        </w:tc>
      </w:tr>
      <w:tr w:rsidR="00B120CF" w:rsidRPr="00051704" w14:paraId="4FEAD221" w14:textId="77777777" w:rsidTr="00B120CF">
        <w:trPr>
          <w:trHeight w:val="549"/>
          <w:jc w:val="center"/>
        </w:trPr>
        <w:tc>
          <w:tcPr>
            <w:tcW w:w="2250" w:type="dxa"/>
            <w:shd w:val="clear" w:color="auto" w:fill="767171" w:themeFill="background2" w:themeFillShade="80"/>
            <w:vAlign w:val="center"/>
          </w:tcPr>
          <w:p w14:paraId="1593FEC3" w14:textId="77777777" w:rsidR="00825393" w:rsidRPr="00051704" w:rsidRDefault="00825393" w:rsidP="00051704">
            <w:pPr>
              <w:widowControl/>
              <w:autoSpaceDE/>
              <w:autoSpaceDN/>
              <w:spacing w:after="160" w:line="259" w:lineRule="auto"/>
              <w:rPr>
                <w:b/>
              </w:rPr>
            </w:pPr>
            <w:r w:rsidRPr="00051704">
              <w:rPr>
                <w:b/>
              </w:rPr>
              <w:t>Media exposure</w:t>
            </w:r>
          </w:p>
        </w:tc>
        <w:tc>
          <w:tcPr>
            <w:tcW w:w="540" w:type="dxa"/>
            <w:shd w:val="clear" w:color="auto" w:fill="F2F2F2" w:themeFill="background1" w:themeFillShade="F2"/>
            <w:vAlign w:val="center"/>
          </w:tcPr>
          <w:p w14:paraId="0CD3FEEA"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3BE71DAA"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2C69E79D" w14:textId="77777777" w:rsidR="00825393" w:rsidRPr="00051704" w:rsidRDefault="00825393" w:rsidP="00051704">
            <w:pPr>
              <w:widowControl/>
              <w:autoSpaceDE/>
              <w:autoSpaceDN/>
              <w:spacing w:after="160" w:line="259" w:lineRule="auto"/>
              <w:rPr>
                <w:b/>
                <w:bCs/>
              </w:rPr>
            </w:pPr>
          </w:p>
        </w:tc>
        <w:tc>
          <w:tcPr>
            <w:tcW w:w="540" w:type="dxa"/>
            <w:shd w:val="clear" w:color="auto" w:fill="767171" w:themeFill="background2" w:themeFillShade="80"/>
            <w:vAlign w:val="center"/>
          </w:tcPr>
          <w:p w14:paraId="75E7383D"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426583EE"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4B832065"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007EA1DB"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1513F5E6"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39CD39E5"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1132D428"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6601C91D" w14:textId="77777777" w:rsidR="00825393" w:rsidRPr="00051704" w:rsidRDefault="00825393" w:rsidP="00051704">
            <w:pPr>
              <w:widowControl/>
              <w:autoSpaceDE/>
              <w:autoSpaceDN/>
              <w:spacing w:after="160" w:line="259" w:lineRule="auto"/>
              <w:rPr>
                <w:b/>
                <w:bCs/>
              </w:rPr>
            </w:pPr>
          </w:p>
        </w:tc>
        <w:tc>
          <w:tcPr>
            <w:tcW w:w="540" w:type="dxa"/>
            <w:shd w:val="clear" w:color="auto" w:fill="767171" w:themeFill="background2" w:themeFillShade="80"/>
            <w:vAlign w:val="center"/>
          </w:tcPr>
          <w:p w14:paraId="6D8D3B6B" w14:textId="77777777" w:rsidR="00825393" w:rsidRPr="00051704" w:rsidRDefault="00825393" w:rsidP="00051704">
            <w:pPr>
              <w:widowControl/>
              <w:autoSpaceDE/>
              <w:autoSpaceDN/>
              <w:spacing w:after="160" w:line="259" w:lineRule="auto"/>
              <w:rPr>
                <w:b/>
                <w:bCs/>
              </w:rPr>
            </w:pPr>
          </w:p>
        </w:tc>
        <w:tc>
          <w:tcPr>
            <w:tcW w:w="540" w:type="dxa"/>
            <w:shd w:val="clear" w:color="auto" w:fill="767171" w:themeFill="background2" w:themeFillShade="80"/>
            <w:vAlign w:val="center"/>
          </w:tcPr>
          <w:p w14:paraId="5E2D6890" w14:textId="77777777" w:rsidR="00825393" w:rsidRPr="00051704" w:rsidRDefault="00825393" w:rsidP="00051704">
            <w:pPr>
              <w:widowControl/>
              <w:autoSpaceDE/>
              <w:autoSpaceDN/>
              <w:spacing w:after="160" w:line="259" w:lineRule="auto"/>
              <w:rPr>
                <w:b/>
                <w:bCs/>
              </w:rPr>
            </w:pPr>
          </w:p>
        </w:tc>
        <w:tc>
          <w:tcPr>
            <w:tcW w:w="720" w:type="dxa"/>
            <w:shd w:val="clear" w:color="auto" w:fill="767171" w:themeFill="background2" w:themeFillShade="80"/>
            <w:vAlign w:val="center"/>
          </w:tcPr>
          <w:p w14:paraId="0F113D59"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236B3B6D" w14:textId="77777777" w:rsidR="00825393" w:rsidRPr="00051704" w:rsidRDefault="00825393" w:rsidP="00051704">
            <w:pPr>
              <w:widowControl/>
              <w:autoSpaceDE/>
              <w:autoSpaceDN/>
              <w:spacing w:after="160" w:line="259" w:lineRule="auto"/>
              <w:rPr>
                <w:b/>
                <w:bCs/>
              </w:rPr>
            </w:pPr>
          </w:p>
        </w:tc>
        <w:tc>
          <w:tcPr>
            <w:tcW w:w="720" w:type="dxa"/>
            <w:shd w:val="clear" w:color="auto" w:fill="767171" w:themeFill="background2" w:themeFillShade="80"/>
            <w:vAlign w:val="center"/>
          </w:tcPr>
          <w:p w14:paraId="63D391FF" w14:textId="77777777" w:rsidR="00825393" w:rsidRPr="00051704" w:rsidRDefault="00825393" w:rsidP="00051704">
            <w:pPr>
              <w:widowControl/>
              <w:autoSpaceDE/>
              <w:autoSpaceDN/>
              <w:spacing w:after="160" w:line="259" w:lineRule="auto"/>
              <w:rPr>
                <w:b/>
                <w:bCs/>
              </w:rPr>
            </w:pPr>
          </w:p>
        </w:tc>
        <w:tc>
          <w:tcPr>
            <w:tcW w:w="720" w:type="dxa"/>
            <w:shd w:val="clear" w:color="auto" w:fill="767171" w:themeFill="background2" w:themeFillShade="80"/>
            <w:vAlign w:val="center"/>
          </w:tcPr>
          <w:p w14:paraId="4694D5D4"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56DBF8F6" w14:textId="77777777" w:rsidR="00825393" w:rsidRPr="00051704" w:rsidRDefault="00825393" w:rsidP="00051704">
            <w:pPr>
              <w:widowControl/>
              <w:autoSpaceDE/>
              <w:autoSpaceDN/>
              <w:spacing w:after="160" w:line="259" w:lineRule="auto"/>
              <w:rPr>
                <w:b/>
                <w:bCs/>
              </w:rPr>
            </w:pPr>
          </w:p>
        </w:tc>
      </w:tr>
      <w:tr w:rsidR="00AB6863" w:rsidRPr="00051704" w14:paraId="4165941E" w14:textId="77777777" w:rsidTr="00B120CF">
        <w:trPr>
          <w:jc w:val="center"/>
        </w:trPr>
        <w:tc>
          <w:tcPr>
            <w:tcW w:w="2250" w:type="dxa"/>
            <w:shd w:val="clear" w:color="auto" w:fill="A6A6A6" w:themeFill="background1" w:themeFillShade="A6"/>
            <w:vAlign w:val="center"/>
          </w:tcPr>
          <w:p w14:paraId="7E8C10E1" w14:textId="2A6AC369" w:rsidR="00825393" w:rsidRPr="00051704" w:rsidRDefault="00825393" w:rsidP="00051704">
            <w:pPr>
              <w:widowControl/>
              <w:autoSpaceDE/>
              <w:autoSpaceDN/>
              <w:spacing w:after="160" w:line="259" w:lineRule="auto"/>
              <w:rPr>
                <w:b/>
              </w:rPr>
            </w:pPr>
            <w:r w:rsidRPr="00051704">
              <w:rPr>
                <w:b/>
              </w:rPr>
              <w:t xml:space="preserve">Jordanian </w:t>
            </w:r>
            <w:r w:rsidR="007F6112">
              <w:rPr>
                <w:b/>
              </w:rPr>
              <w:t>U</w:t>
            </w:r>
            <w:r w:rsidRPr="00051704">
              <w:rPr>
                <w:b/>
              </w:rPr>
              <w:t>niversities’ Building capacity initiative</w:t>
            </w:r>
          </w:p>
        </w:tc>
        <w:tc>
          <w:tcPr>
            <w:tcW w:w="540" w:type="dxa"/>
            <w:shd w:val="clear" w:color="auto" w:fill="F2F2F2" w:themeFill="background1" w:themeFillShade="F2"/>
            <w:vAlign w:val="center"/>
          </w:tcPr>
          <w:p w14:paraId="7A1FCEDE"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1502019"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9EC25E3"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2376684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08A69F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90F24B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45000BA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DCB9541"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629B00F" w14:textId="77777777" w:rsidR="00825393" w:rsidRPr="00051704" w:rsidRDefault="00825393" w:rsidP="00051704">
            <w:pPr>
              <w:widowControl/>
              <w:autoSpaceDE/>
              <w:autoSpaceDN/>
              <w:spacing w:after="160" w:line="259" w:lineRule="auto"/>
              <w:rPr>
                <w:b/>
                <w:bCs/>
              </w:rPr>
            </w:pPr>
          </w:p>
        </w:tc>
        <w:tc>
          <w:tcPr>
            <w:tcW w:w="630" w:type="dxa"/>
            <w:shd w:val="clear" w:color="auto" w:fill="A6A6A6" w:themeFill="background1" w:themeFillShade="A6"/>
            <w:vAlign w:val="center"/>
          </w:tcPr>
          <w:p w14:paraId="38541A4C" w14:textId="77777777" w:rsidR="00825393" w:rsidRPr="00051704" w:rsidRDefault="00825393" w:rsidP="00051704">
            <w:pPr>
              <w:widowControl/>
              <w:autoSpaceDE/>
              <w:autoSpaceDN/>
              <w:spacing w:after="160" w:line="259" w:lineRule="auto"/>
              <w:rPr>
                <w:b/>
                <w:bCs/>
              </w:rPr>
            </w:pPr>
          </w:p>
        </w:tc>
        <w:tc>
          <w:tcPr>
            <w:tcW w:w="630" w:type="dxa"/>
            <w:shd w:val="clear" w:color="auto" w:fill="A6A6A6" w:themeFill="background1" w:themeFillShade="A6"/>
            <w:vAlign w:val="center"/>
          </w:tcPr>
          <w:p w14:paraId="0D81B05A"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43571EE6" w14:textId="77777777" w:rsidR="00825393" w:rsidRPr="00051704" w:rsidRDefault="00825393" w:rsidP="00051704">
            <w:pPr>
              <w:widowControl/>
              <w:autoSpaceDE/>
              <w:autoSpaceDN/>
              <w:spacing w:after="160" w:line="259" w:lineRule="auto"/>
              <w:rPr>
                <w:b/>
                <w:bCs/>
              </w:rPr>
            </w:pPr>
          </w:p>
        </w:tc>
        <w:tc>
          <w:tcPr>
            <w:tcW w:w="540" w:type="dxa"/>
            <w:shd w:val="clear" w:color="auto" w:fill="A6A6A6" w:themeFill="background1" w:themeFillShade="A6"/>
            <w:vAlign w:val="center"/>
          </w:tcPr>
          <w:p w14:paraId="00492BDC" w14:textId="77777777" w:rsidR="00825393" w:rsidRPr="00051704" w:rsidRDefault="00825393" w:rsidP="00051704">
            <w:pPr>
              <w:widowControl/>
              <w:autoSpaceDE/>
              <w:autoSpaceDN/>
              <w:spacing w:after="160" w:line="259" w:lineRule="auto"/>
              <w:rPr>
                <w:b/>
                <w:bCs/>
              </w:rPr>
            </w:pPr>
          </w:p>
        </w:tc>
        <w:tc>
          <w:tcPr>
            <w:tcW w:w="720" w:type="dxa"/>
            <w:shd w:val="clear" w:color="auto" w:fill="A6A6A6" w:themeFill="background1" w:themeFillShade="A6"/>
            <w:vAlign w:val="center"/>
          </w:tcPr>
          <w:p w14:paraId="12244348"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435E904"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733907B6"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6DE9CB87"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D31FA8C" w14:textId="77777777" w:rsidR="00825393" w:rsidRPr="00051704" w:rsidRDefault="00825393" w:rsidP="00051704">
            <w:pPr>
              <w:widowControl/>
              <w:autoSpaceDE/>
              <w:autoSpaceDN/>
              <w:spacing w:after="160" w:line="259" w:lineRule="auto"/>
              <w:rPr>
                <w:b/>
                <w:bCs/>
              </w:rPr>
            </w:pPr>
          </w:p>
        </w:tc>
      </w:tr>
      <w:tr w:rsidR="00AB6863" w:rsidRPr="00051704" w14:paraId="7A5EDE5E" w14:textId="77777777" w:rsidTr="00B120CF">
        <w:trPr>
          <w:trHeight w:val="522"/>
          <w:jc w:val="center"/>
        </w:trPr>
        <w:tc>
          <w:tcPr>
            <w:tcW w:w="2250" w:type="dxa"/>
            <w:shd w:val="clear" w:color="auto" w:fill="767171" w:themeFill="background2" w:themeFillShade="80"/>
            <w:vAlign w:val="center"/>
          </w:tcPr>
          <w:p w14:paraId="70F012C5" w14:textId="3C5DD2AE" w:rsidR="00825393" w:rsidRPr="00051704" w:rsidRDefault="00825393" w:rsidP="00051704">
            <w:pPr>
              <w:widowControl/>
              <w:autoSpaceDE/>
              <w:autoSpaceDN/>
              <w:spacing w:after="160" w:line="259" w:lineRule="auto"/>
              <w:rPr>
                <w:b/>
              </w:rPr>
            </w:pPr>
            <w:r w:rsidRPr="00051704">
              <w:rPr>
                <w:b/>
              </w:rPr>
              <w:t xml:space="preserve">Communication </w:t>
            </w:r>
            <w:r w:rsidR="00B120CF">
              <w:rPr>
                <w:b/>
              </w:rPr>
              <w:t>Strategy roll-out</w:t>
            </w:r>
          </w:p>
        </w:tc>
        <w:tc>
          <w:tcPr>
            <w:tcW w:w="540" w:type="dxa"/>
            <w:shd w:val="clear" w:color="auto" w:fill="F2F2F2" w:themeFill="background1" w:themeFillShade="F2"/>
            <w:vAlign w:val="center"/>
          </w:tcPr>
          <w:p w14:paraId="1188B1F0"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441EFC89"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3CADE05"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48B4663E"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4BC33F40"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C5E5537"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9F7E616"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642C24A"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A248B18"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56F8D50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3109DE5"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4F8630CF"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6A0B4E23"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4EC185D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71390709"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33CFD45D"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4712C36F"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5E05663" w14:textId="77777777" w:rsidR="00825393" w:rsidRPr="00051704" w:rsidRDefault="00825393" w:rsidP="00051704">
            <w:pPr>
              <w:widowControl/>
              <w:autoSpaceDE/>
              <w:autoSpaceDN/>
              <w:spacing w:after="160" w:line="259" w:lineRule="auto"/>
              <w:rPr>
                <w:b/>
                <w:bCs/>
              </w:rPr>
            </w:pPr>
          </w:p>
        </w:tc>
      </w:tr>
      <w:tr w:rsidR="00AB6863" w:rsidRPr="00051704" w14:paraId="3D0F7D94" w14:textId="77777777" w:rsidTr="00B120CF">
        <w:trPr>
          <w:trHeight w:val="522"/>
          <w:jc w:val="center"/>
        </w:trPr>
        <w:tc>
          <w:tcPr>
            <w:tcW w:w="2250" w:type="dxa"/>
            <w:shd w:val="clear" w:color="auto" w:fill="BFBFBF" w:themeFill="background1" w:themeFillShade="BF"/>
            <w:vAlign w:val="center"/>
          </w:tcPr>
          <w:p w14:paraId="2485A427" w14:textId="77777777" w:rsidR="00825393" w:rsidRPr="00051704" w:rsidRDefault="00825393" w:rsidP="00051704">
            <w:pPr>
              <w:widowControl/>
              <w:autoSpaceDE/>
              <w:autoSpaceDN/>
              <w:spacing w:after="160" w:line="259" w:lineRule="auto"/>
              <w:rPr>
                <w:b/>
              </w:rPr>
            </w:pPr>
            <w:r w:rsidRPr="00051704">
              <w:rPr>
                <w:b/>
              </w:rPr>
              <w:t>WPS Photo Gallery on UNSCR 1325</w:t>
            </w:r>
          </w:p>
        </w:tc>
        <w:tc>
          <w:tcPr>
            <w:tcW w:w="540" w:type="dxa"/>
            <w:shd w:val="clear" w:color="auto" w:fill="F2F2F2" w:themeFill="background1" w:themeFillShade="F2"/>
            <w:vAlign w:val="center"/>
          </w:tcPr>
          <w:p w14:paraId="004138A1"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1263853"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24BBF11"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7EEDBB26"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0131A80E"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6908CF51"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1206330B"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12E0D90F"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56F3C06E"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602A2DB3"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4D2821E4"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17A8F6F5" w14:textId="77777777" w:rsidR="00825393" w:rsidRPr="00051704" w:rsidRDefault="00825393" w:rsidP="00051704">
            <w:pPr>
              <w:widowControl/>
              <w:autoSpaceDE/>
              <w:autoSpaceDN/>
              <w:spacing w:after="160" w:line="259" w:lineRule="auto"/>
              <w:rPr>
                <w:b/>
                <w:bCs/>
              </w:rPr>
            </w:pPr>
          </w:p>
        </w:tc>
        <w:tc>
          <w:tcPr>
            <w:tcW w:w="540" w:type="dxa"/>
            <w:shd w:val="clear" w:color="auto" w:fill="BFBFBF" w:themeFill="background1" w:themeFillShade="BF"/>
            <w:vAlign w:val="center"/>
          </w:tcPr>
          <w:p w14:paraId="4816C149"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2C01F4C6" w14:textId="77777777" w:rsidR="00825393" w:rsidRPr="00051704" w:rsidRDefault="00825393" w:rsidP="00051704">
            <w:pPr>
              <w:widowControl/>
              <w:autoSpaceDE/>
              <w:autoSpaceDN/>
              <w:spacing w:after="160" w:line="259" w:lineRule="auto"/>
              <w:rPr>
                <w:b/>
                <w:bCs/>
              </w:rPr>
            </w:pPr>
          </w:p>
        </w:tc>
        <w:tc>
          <w:tcPr>
            <w:tcW w:w="630" w:type="dxa"/>
            <w:shd w:val="clear" w:color="auto" w:fill="BFBFBF" w:themeFill="background1" w:themeFillShade="BF"/>
            <w:vAlign w:val="center"/>
          </w:tcPr>
          <w:p w14:paraId="62180EF1" w14:textId="77777777" w:rsidR="00825393" w:rsidRPr="00051704" w:rsidRDefault="00825393" w:rsidP="00051704">
            <w:pPr>
              <w:widowControl/>
              <w:autoSpaceDE/>
              <w:autoSpaceDN/>
              <w:spacing w:after="160" w:line="259" w:lineRule="auto"/>
              <w:rPr>
                <w:b/>
                <w:bCs/>
              </w:rPr>
            </w:pPr>
          </w:p>
        </w:tc>
        <w:tc>
          <w:tcPr>
            <w:tcW w:w="720" w:type="dxa"/>
            <w:shd w:val="clear" w:color="auto" w:fill="BFBFBF" w:themeFill="background1" w:themeFillShade="BF"/>
            <w:vAlign w:val="center"/>
          </w:tcPr>
          <w:p w14:paraId="50022A89"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7E26B4B0"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2DEECBDC" w14:textId="77777777" w:rsidR="00825393" w:rsidRPr="00051704" w:rsidRDefault="00825393" w:rsidP="00051704">
            <w:pPr>
              <w:widowControl/>
              <w:autoSpaceDE/>
              <w:autoSpaceDN/>
              <w:spacing w:after="160" w:line="259" w:lineRule="auto"/>
              <w:rPr>
                <w:b/>
                <w:bCs/>
              </w:rPr>
            </w:pPr>
          </w:p>
        </w:tc>
      </w:tr>
      <w:tr w:rsidR="00AB6863" w:rsidRPr="00051704" w14:paraId="065A55E3" w14:textId="77777777" w:rsidTr="00B120CF">
        <w:trPr>
          <w:trHeight w:val="522"/>
          <w:jc w:val="center"/>
        </w:trPr>
        <w:tc>
          <w:tcPr>
            <w:tcW w:w="2250" w:type="dxa"/>
            <w:shd w:val="clear" w:color="auto" w:fill="767171" w:themeFill="background2" w:themeFillShade="80"/>
            <w:vAlign w:val="center"/>
          </w:tcPr>
          <w:p w14:paraId="16517B9F" w14:textId="77777777" w:rsidR="00825393" w:rsidRPr="00051704" w:rsidRDefault="00825393" w:rsidP="00051704">
            <w:pPr>
              <w:widowControl/>
              <w:autoSpaceDE/>
              <w:autoSpaceDN/>
              <w:spacing w:after="160" w:line="259" w:lineRule="auto"/>
              <w:rPr>
                <w:b/>
              </w:rPr>
            </w:pPr>
            <w:r w:rsidRPr="00051704">
              <w:rPr>
                <w:b/>
              </w:rPr>
              <w:t>Four Short Videos</w:t>
            </w:r>
          </w:p>
        </w:tc>
        <w:tc>
          <w:tcPr>
            <w:tcW w:w="540" w:type="dxa"/>
            <w:shd w:val="clear" w:color="auto" w:fill="F2F2F2" w:themeFill="background1" w:themeFillShade="F2"/>
            <w:vAlign w:val="center"/>
          </w:tcPr>
          <w:p w14:paraId="0ADE8AD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6805230"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53DDC23E"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7D71B74F"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0E925C6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1FEF4A90"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A0C2ECF"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006C9365"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605F3526"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F86DA22"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36B1BCD"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2F164BF5" w14:textId="77777777" w:rsidR="00825393" w:rsidRPr="00051704" w:rsidRDefault="00825393" w:rsidP="00051704">
            <w:pPr>
              <w:widowControl/>
              <w:autoSpaceDE/>
              <w:autoSpaceDN/>
              <w:spacing w:after="160" w:line="259" w:lineRule="auto"/>
              <w:rPr>
                <w:b/>
                <w:bCs/>
              </w:rPr>
            </w:pPr>
          </w:p>
        </w:tc>
        <w:tc>
          <w:tcPr>
            <w:tcW w:w="540" w:type="dxa"/>
            <w:shd w:val="clear" w:color="auto" w:fill="F2F2F2" w:themeFill="background1" w:themeFillShade="F2"/>
            <w:vAlign w:val="center"/>
          </w:tcPr>
          <w:p w14:paraId="056CD099"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3A8B21D9" w14:textId="77777777" w:rsidR="00825393" w:rsidRPr="00051704" w:rsidRDefault="00825393" w:rsidP="00051704">
            <w:pPr>
              <w:widowControl/>
              <w:autoSpaceDE/>
              <w:autoSpaceDN/>
              <w:spacing w:after="160" w:line="259" w:lineRule="auto"/>
              <w:rPr>
                <w:b/>
                <w:bCs/>
              </w:rPr>
            </w:pPr>
          </w:p>
        </w:tc>
        <w:tc>
          <w:tcPr>
            <w:tcW w:w="630" w:type="dxa"/>
            <w:shd w:val="clear" w:color="auto" w:fill="767171" w:themeFill="background2" w:themeFillShade="80"/>
            <w:vAlign w:val="center"/>
          </w:tcPr>
          <w:p w14:paraId="069E5861"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03B12CDA" w14:textId="77777777" w:rsidR="00825393" w:rsidRPr="00051704" w:rsidRDefault="00825393" w:rsidP="00051704">
            <w:pPr>
              <w:widowControl/>
              <w:autoSpaceDE/>
              <w:autoSpaceDN/>
              <w:spacing w:after="160" w:line="259" w:lineRule="auto"/>
              <w:rPr>
                <w:b/>
                <w:bCs/>
              </w:rPr>
            </w:pPr>
          </w:p>
        </w:tc>
        <w:tc>
          <w:tcPr>
            <w:tcW w:w="720" w:type="dxa"/>
            <w:shd w:val="clear" w:color="auto" w:fill="F2F2F2" w:themeFill="background1" w:themeFillShade="F2"/>
            <w:vAlign w:val="center"/>
          </w:tcPr>
          <w:p w14:paraId="3F124FBB" w14:textId="77777777" w:rsidR="00825393" w:rsidRPr="00051704" w:rsidRDefault="00825393" w:rsidP="00051704">
            <w:pPr>
              <w:widowControl/>
              <w:autoSpaceDE/>
              <w:autoSpaceDN/>
              <w:spacing w:after="160" w:line="259" w:lineRule="auto"/>
              <w:rPr>
                <w:b/>
                <w:bCs/>
              </w:rPr>
            </w:pPr>
          </w:p>
        </w:tc>
        <w:tc>
          <w:tcPr>
            <w:tcW w:w="630" w:type="dxa"/>
            <w:shd w:val="clear" w:color="auto" w:fill="F2F2F2" w:themeFill="background1" w:themeFillShade="F2"/>
            <w:vAlign w:val="center"/>
          </w:tcPr>
          <w:p w14:paraId="3C899D0A" w14:textId="77777777" w:rsidR="00825393" w:rsidRPr="00051704" w:rsidRDefault="00825393" w:rsidP="00051704">
            <w:pPr>
              <w:widowControl/>
              <w:autoSpaceDE/>
              <w:autoSpaceDN/>
              <w:spacing w:after="160" w:line="259" w:lineRule="auto"/>
              <w:rPr>
                <w:b/>
                <w:bCs/>
              </w:rPr>
            </w:pPr>
          </w:p>
        </w:tc>
      </w:tr>
    </w:tbl>
    <w:p w14:paraId="529DA35B" w14:textId="77777777" w:rsidR="00051704" w:rsidRPr="00051704" w:rsidRDefault="00051704" w:rsidP="00051704"/>
    <w:p w14:paraId="7E64596F" w14:textId="77777777" w:rsidR="00051704" w:rsidRDefault="00051704">
      <w:pPr>
        <w:rPr>
          <w:b/>
          <w:bCs/>
        </w:rPr>
      </w:pPr>
      <w:r>
        <w:rPr>
          <w:b/>
          <w:bCs/>
        </w:rPr>
        <w:br w:type="page"/>
      </w:r>
    </w:p>
    <w:p w14:paraId="716D11E3" w14:textId="74FB045E" w:rsidR="00051704" w:rsidRPr="00051704" w:rsidRDefault="007B3C79" w:rsidP="00051704">
      <w:pPr>
        <w:rPr>
          <w:b/>
          <w:bCs/>
          <w:rtl/>
        </w:rPr>
      </w:pPr>
      <w:r>
        <w:rPr>
          <w:b/>
          <w:bCs/>
        </w:rPr>
        <w:lastRenderedPageBreak/>
        <w:t>Feedba</w:t>
      </w:r>
      <w:r w:rsidR="00051704" w:rsidRPr="00051704">
        <w:rPr>
          <w:b/>
          <w:bCs/>
        </w:rPr>
        <w:t>ck Mechanism:</w:t>
      </w:r>
    </w:p>
    <w:tbl>
      <w:tblPr>
        <w:tblStyle w:val="TableGrid"/>
        <w:tblW w:w="0" w:type="auto"/>
        <w:jc w:val="center"/>
        <w:tblLook w:val="04A0" w:firstRow="1" w:lastRow="0" w:firstColumn="1" w:lastColumn="0" w:noHBand="0" w:noVBand="1"/>
      </w:tblPr>
      <w:tblGrid>
        <w:gridCol w:w="2695"/>
        <w:gridCol w:w="8910"/>
        <w:gridCol w:w="3203"/>
      </w:tblGrid>
      <w:tr w:rsidR="00051704" w:rsidRPr="00051704" w14:paraId="0A473596" w14:textId="77777777" w:rsidTr="00EB48C2">
        <w:trPr>
          <w:jc w:val="center"/>
        </w:trPr>
        <w:tc>
          <w:tcPr>
            <w:tcW w:w="2695" w:type="dxa"/>
            <w:shd w:val="clear" w:color="auto" w:fill="F2F2F2" w:themeFill="background1" w:themeFillShade="F2"/>
          </w:tcPr>
          <w:p w14:paraId="00542070" w14:textId="77777777" w:rsidR="00051704" w:rsidRPr="00051704" w:rsidRDefault="00051704" w:rsidP="00051704">
            <w:pPr>
              <w:widowControl/>
              <w:autoSpaceDE/>
              <w:autoSpaceDN/>
              <w:rPr>
                <w:b/>
                <w:bCs/>
              </w:rPr>
            </w:pPr>
            <w:r w:rsidRPr="00051704">
              <w:rPr>
                <w:b/>
                <w:bCs/>
              </w:rPr>
              <w:t>Activity</w:t>
            </w:r>
          </w:p>
        </w:tc>
        <w:tc>
          <w:tcPr>
            <w:tcW w:w="8910" w:type="dxa"/>
            <w:shd w:val="clear" w:color="auto" w:fill="F2F2F2" w:themeFill="background1" w:themeFillShade="F2"/>
          </w:tcPr>
          <w:p w14:paraId="366D1C9D" w14:textId="77777777" w:rsidR="00051704" w:rsidRPr="00051704" w:rsidRDefault="00051704" w:rsidP="00051704">
            <w:pPr>
              <w:widowControl/>
              <w:autoSpaceDE/>
              <w:autoSpaceDN/>
              <w:rPr>
                <w:b/>
              </w:rPr>
            </w:pPr>
            <w:r w:rsidRPr="00051704">
              <w:rPr>
                <w:b/>
              </w:rPr>
              <w:t>Feedback Mechanism</w:t>
            </w:r>
          </w:p>
        </w:tc>
        <w:tc>
          <w:tcPr>
            <w:tcW w:w="3203" w:type="dxa"/>
            <w:shd w:val="clear" w:color="auto" w:fill="F2F2F2" w:themeFill="background1" w:themeFillShade="F2"/>
          </w:tcPr>
          <w:p w14:paraId="12EF8829" w14:textId="77777777" w:rsidR="00051704" w:rsidRPr="00051704" w:rsidRDefault="00051704" w:rsidP="00051704">
            <w:pPr>
              <w:widowControl/>
              <w:autoSpaceDE/>
              <w:autoSpaceDN/>
              <w:rPr>
                <w:b/>
              </w:rPr>
            </w:pPr>
            <w:r w:rsidRPr="00051704">
              <w:rPr>
                <w:b/>
              </w:rPr>
              <w:t>Reach</w:t>
            </w:r>
          </w:p>
        </w:tc>
      </w:tr>
      <w:tr w:rsidR="00051704" w:rsidRPr="00051704" w14:paraId="30F02549" w14:textId="77777777" w:rsidTr="00EB48C2">
        <w:trPr>
          <w:jc w:val="center"/>
        </w:trPr>
        <w:tc>
          <w:tcPr>
            <w:tcW w:w="2695" w:type="dxa"/>
            <w:shd w:val="clear" w:color="auto" w:fill="F2F2F2" w:themeFill="background1" w:themeFillShade="F2"/>
            <w:vAlign w:val="center"/>
          </w:tcPr>
          <w:p w14:paraId="68DF60CE" w14:textId="77777777" w:rsidR="00051704" w:rsidRPr="00051704" w:rsidRDefault="00051704" w:rsidP="00051704">
            <w:pPr>
              <w:widowControl/>
              <w:autoSpaceDE/>
              <w:autoSpaceDN/>
              <w:rPr>
                <w:b/>
                <w:bCs/>
              </w:rPr>
            </w:pPr>
            <w:r w:rsidRPr="00051704">
              <w:rPr>
                <w:b/>
                <w:bCs/>
              </w:rPr>
              <w:t>2 Annual Forums</w:t>
            </w:r>
          </w:p>
        </w:tc>
        <w:tc>
          <w:tcPr>
            <w:tcW w:w="8910" w:type="dxa"/>
            <w:shd w:val="clear" w:color="auto" w:fill="F2F2F2" w:themeFill="background1" w:themeFillShade="F2"/>
            <w:vAlign w:val="center"/>
          </w:tcPr>
          <w:p w14:paraId="5C91AA35" w14:textId="5E3A3404" w:rsidR="00051704" w:rsidRPr="00051704" w:rsidRDefault="00051704" w:rsidP="00051704">
            <w:pPr>
              <w:widowControl/>
              <w:autoSpaceDE/>
              <w:autoSpaceDN/>
            </w:pPr>
            <w:r w:rsidRPr="00051704">
              <w:t xml:space="preserve">- Conduct consultation sessions before the annual forum with a sample of forum attendees, </w:t>
            </w:r>
            <w:r w:rsidR="003401B8">
              <w:t>partners' representatives</w:t>
            </w:r>
            <w:r w:rsidRPr="00051704">
              <w:t>, and stakeholders to gather implementation recommendations.</w:t>
            </w:r>
          </w:p>
          <w:p w14:paraId="5B3B9842" w14:textId="77777777" w:rsidR="00051704" w:rsidRPr="00051704" w:rsidRDefault="00051704" w:rsidP="00051704">
            <w:pPr>
              <w:widowControl/>
              <w:autoSpaceDE/>
              <w:autoSpaceDN/>
              <w:rPr>
                <w:rtl/>
                <w:lang w:bidi="ar-JO"/>
              </w:rPr>
            </w:pPr>
            <w:r w:rsidRPr="00051704">
              <w:t>- After the annual forum, we will conduct focus group discussions to collect feedback and identify areas for development.</w:t>
            </w:r>
          </w:p>
          <w:p w14:paraId="184CF020" w14:textId="651B99D5" w:rsidR="00051704" w:rsidRPr="00051704" w:rsidRDefault="00051704" w:rsidP="00051704">
            <w:pPr>
              <w:widowControl/>
              <w:autoSpaceDE/>
              <w:autoSpaceDN/>
            </w:pPr>
            <w:r w:rsidRPr="00051704">
              <w:t>-Press release after each Annual Forum. (</w:t>
            </w:r>
            <w:r w:rsidR="003401B8" w:rsidRPr="00051704">
              <w:t>One</w:t>
            </w:r>
            <w:r w:rsidRPr="00051704">
              <w:t xml:space="preserve"> on 2024 related to the 2024 Annual Forum and one on 2025 related to the 2025 Annual Forum)</w:t>
            </w:r>
          </w:p>
        </w:tc>
        <w:tc>
          <w:tcPr>
            <w:tcW w:w="3203" w:type="dxa"/>
            <w:shd w:val="clear" w:color="auto" w:fill="F2F2F2" w:themeFill="background1" w:themeFillShade="F2"/>
            <w:vAlign w:val="center"/>
          </w:tcPr>
          <w:p w14:paraId="5AA4AE6D" w14:textId="77777777" w:rsidR="00051704" w:rsidRPr="00051704" w:rsidRDefault="00051704" w:rsidP="00051704">
            <w:pPr>
              <w:widowControl/>
              <w:autoSpaceDE/>
              <w:autoSpaceDN/>
            </w:pPr>
          </w:p>
          <w:p w14:paraId="7AC46B47" w14:textId="77777777" w:rsidR="00051704" w:rsidRPr="00051704" w:rsidRDefault="00051704" w:rsidP="00051704">
            <w:pPr>
              <w:widowControl/>
              <w:autoSpaceDE/>
              <w:autoSpaceDN/>
            </w:pPr>
            <w:r w:rsidRPr="00051704">
              <w:t>- 200 attendees.</w:t>
            </w:r>
          </w:p>
          <w:p w14:paraId="5C548145" w14:textId="77777777" w:rsidR="00051704" w:rsidRPr="00051704" w:rsidRDefault="00051704" w:rsidP="00051704">
            <w:pPr>
              <w:widowControl/>
              <w:autoSpaceDE/>
              <w:autoSpaceDN/>
            </w:pPr>
          </w:p>
        </w:tc>
      </w:tr>
      <w:tr w:rsidR="00051704" w:rsidRPr="00051704" w14:paraId="0906A973" w14:textId="77777777" w:rsidTr="00EB48C2">
        <w:trPr>
          <w:jc w:val="center"/>
        </w:trPr>
        <w:tc>
          <w:tcPr>
            <w:tcW w:w="2695" w:type="dxa"/>
            <w:shd w:val="clear" w:color="auto" w:fill="F2F2F2" w:themeFill="background1" w:themeFillShade="F2"/>
            <w:vAlign w:val="center"/>
          </w:tcPr>
          <w:p w14:paraId="07D3269B" w14:textId="77777777" w:rsidR="00051704" w:rsidRPr="00051704" w:rsidRDefault="00051704" w:rsidP="00051704">
            <w:pPr>
              <w:widowControl/>
              <w:autoSpaceDE/>
              <w:autoSpaceDN/>
              <w:rPr>
                <w:b/>
                <w:bCs/>
              </w:rPr>
            </w:pPr>
            <w:r w:rsidRPr="00051704">
              <w:rPr>
                <w:b/>
                <w:bCs/>
              </w:rPr>
              <w:t>Raising awareness campaign</w:t>
            </w:r>
          </w:p>
        </w:tc>
        <w:tc>
          <w:tcPr>
            <w:tcW w:w="8910" w:type="dxa"/>
            <w:shd w:val="clear" w:color="auto" w:fill="F2F2F2" w:themeFill="background1" w:themeFillShade="F2"/>
            <w:vAlign w:val="center"/>
          </w:tcPr>
          <w:p w14:paraId="4A7CCDEB" w14:textId="77777777" w:rsidR="00051704" w:rsidRPr="00051704" w:rsidRDefault="00051704" w:rsidP="00051704">
            <w:pPr>
              <w:widowControl/>
              <w:autoSpaceDE/>
              <w:autoSpaceDN/>
            </w:pPr>
            <w:r w:rsidRPr="00051704">
              <w:t>- Monitor social media engagement (likes, comments, reach, and shares).</w:t>
            </w:r>
          </w:p>
          <w:p w14:paraId="30F48065" w14:textId="0B02F543" w:rsidR="00051704" w:rsidRPr="00051704" w:rsidRDefault="00051704" w:rsidP="00051704">
            <w:pPr>
              <w:widowControl/>
              <w:autoSpaceDE/>
              <w:autoSpaceDN/>
            </w:pPr>
            <w:r w:rsidRPr="00051704">
              <w:t xml:space="preserve">- Conduct focus group discussions to understand the </w:t>
            </w:r>
            <w:r w:rsidR="003401B8">
              <w:t>campaign's effectiveness</w:t>
            </w:r>
            <w:r w:rsidRPr="00051704">
              <w:t xml:space="preserve"> in reaching vulnerable women.</w:t>
            </w:r>
          </w:p>
          <w:p w14:paraId="2EEE7C3B" w14:textId="77777777" w:rsidR="00051704" w:rsidRPr="00051704" w:rsidRDefault="00051704" w:rsidP="00051704">
            <w:pPr>
              <w:widowControl/>
              <w:autoSpaceDE/>
              <w:autoSpaceDN/>
            </w:pPr>
            <w:r w:rsidRPr="00051704">
              <w:t>- Press release - closing the campaign-.</w:t>
            </w:r>
          </w:p>
        </w:tc>
        <w:tc>
          <w:tcPr>
            <w:tcW w:w="3203" w:type="dxa"/>
            <w:shd w:val="clear" w:color="auto" w:fill="F2F2F2" w:themeFill="background1" w:themeFillShade="F2"/>
            <w:vAlign w:val="center"/>
          </w:tcPr>
          <w:p w14:paraId="0E20BF99" w14:textId="77777777" w:rsidR="00051704" w:rsidRPr="00051704" w:rsidRDefault="00051704" w:rsidP="00051704">
            <w:pPr>
              <w:widowControl/>
              <w:autoSpaceDE/>
              <w:autoSpaceDN/>
            </w:pPr>
          </w:p>
          <w:p w14:paraId="19631418" w14:textId="77777777" w:rsidR="00051704" w:rsidRPr="00051704" w:rsidRDefault="00051704" w:rsidP="00051704">
            <w:pPr>
              <w:widowControl/>
              <w:autoSpaceDE/>
              <w:autoSpaceDN/>
            </w:pPr>
            <w:r w:rsidRPr="00051704">
              <w:t>- Raising awareness campaign.</w:t>
            </w:r>
          </w:p>
        </w:tc>
      </w:tr>
      <w:tr w:rsidR="00051704" w:rsidRPr="00051704" w14:paraId="19311B13" w14:textId="77777777" w:rsidTr="00EB48C2">
        <w:trPr>
          <w:jc w:val="center"/>
        </w:trPr>
        <w:tc>
          <w:tcPr>
            <w:tcW w:w="2695" w:type="dxa"/>
            <w:shd w:val="clear" w:color="auto" w:fill="F2F2F2" w:themeFill="background1" w:themeFillShade="F2"/>
            <w:vAlign w:val="center"/>
          </w:tcPr>
          <w:p w14:paraId="5F9F5440" w14:textId="77777777" w:rsidR="00051704" w:rsidRPr="00051704" w:rsidRDefault="00051704" w:rsidP="00051704">
            <w:pPr>
              <w:widowControl/>
              <w:autoSpaceDE/>
              <w:autoSpaceDN/>
              <w:rPr>
                <w:b/>
                <w:bCs/>
              </w:rPr>
            </w:pPr>
            <w:r w:rsidRPr="00051704">
              <w:rPr>
                <w:b/>
                <w:bCs/>
              </w:rPr>
              <w:t>Communication and Media Working Group</w:t>
            </w:r>
          </w:p>
        </w:tc>
        <w:tc>
          <w:tcPr>
            <w:tcW w:w="8910" w:type="dxa"/>
            <w:shd w:val="clear" w:color="auto" w:fill="F2F2F2" w:themeFill="background1" w:themeFillShade="F2"/>
            <w:vAlign w:val="center"/>
          </w:tcPr>
          <w:p w14:paraId="7E701348" w14:textId="08BAA145" w:rsidR="00051704" w:rsidRPr="00051704" w:rsidRDefault="00051704" w:rsidP="00051704">
            <w:pPr>
              <w:widowControl/>
              <w:autoSpaceDE/>
              <w:autoSpaceDN/>
            </w:pPr>
            <w:r w:rsidRPr="00051704">
              <w:t xml:space="preserve">- Number of </w:t>
            </w:r>
            <w:r w:rsidR="00A75801">
              <w:t>Communication and Media Working Group participants</w:t>
            </w:r>
            <w:r w:rsidRPr="00051704">
              <w:t>, including journalists.</w:t>
            </w:r>
          </w:p>
          <w:p w14:paraId="2CA0B0E9" w14:textId="77777777" w:rsidR="00051704" w:rsidRPr="00051704" w:rsidRDefault="00051704" w:rsidP="00051704">
            <w:pPr>
              <w:widowControl/>
              <w:autoSpaceDE/>
              <w:autoSpaceDN/>
            </w:pPr>
            <w:r w:rsidRPr="00051704">
              <w:t>- Number of journalists and participants in the training conducted on gender responsiveness.</w:t>
            </w:r>
          </w:p>
        </w:tc>
        <w:tc>
          <w:tcPr>
            <w:tcW w:w="3203" w:type="dxa"/>
            <w:shd w:val="clear" w:color="auto" w:fill="F2F2F2" w:themeFill="background1" w:themeFillShade="F2"/>
            <w:vAlign w:val="center"/>
          </w:tcPr>
          <w:p w14:paraId="0CF11EA3" w14:textId="4854C57A" w:rsidR="00051704" w:rsidRPr="00051704" w:rsidRDefault="00051704" w:rsidP="00B3516F">
            <w:pPr>
              <w:widowControl/>
              <w:autoSpaceDE/>
              <w:autoSpaceDN/>
            </w:pPr>
            <w:r w:rsidRPr="00051704">
              <w:t xml:space="preserve">- </w:t>
            </w:r>
            <w:r w:rsidR="00B30B5E">
              <w:t>3</w:t>
            </w:r>
            <w:r w:rsidRPr="00051704">
              <w:rPr>
                <w:bCs/>
              </w:rPr>
              <w:t>0 attendee</w:t>
            </w:r>
            <w:r w:rsidR="00B3516F">
              <w:rPr>
                <w:bCs/>
              </w:rPr>
              <w:t>s</w:t>
            </w:r>
          </w:p>
        </w:tc>
      </w:tr>
      <w:tr w:rsidR="00051704" w:rsidRPr="00051704" w14:paraId="6E8CC9C8" w14:textId="77777777" w:rsidTr="00EB48C2">
        <w:trPr>
          <w:jc w:val="center"/>
        </w:trPr>
        <w:tc>
          <w:tcPr>
            <w:tcW w:w="2695" w:type="dxa"/>
            <w:shd w:val="clear" w:color="auto" w:fill="F2F2F2" w:themeFill="background1" w:themeFillShade="F2"/>
            <w:vAlign w:val="center"/>
          </w:tcPr>
          <w:p w14:paraId="0BE862CD" w14:textId="77777777" w:rsidR="00051704" w:rsidRPr="00051704" w:rsidRDefault="00051704" w:rsidP="00051704">
            <w:pPr>
              <w:widowControl/>
              <w:autoSpaceDE/>
              <w:autoSpaceDN/>
              <w:rPr>
                <w:b/>
                <w:bCs/>
              </w:rPr>
            </w:pPr>
            <w:r w:rsidRPr="00051704">
              <w:rPr>
                <w:b/>
                <w:bCs/>
              </w:rPr>
              <w:t xml:space="preserve"> Jordanian universities’ Building capacity initiatives</w:t>
            </w:r>
          </w:p>
        </w:tc>
        <w:tc>
          <w:tcPr>
            <w:tcW w:w="8910" w:type="dxa"/>
            <w:shd w:val="clear" w:color="auto" w:fill="F2F2F2" w:themeFill="background1" w:themeFillShade="F2"/>
            <w:vAlign w:val="center"/>
          </w:tcPr>
          <w:p w14:paraId="6D22FD1B" w14:textId="77777777" w:rsidR="00051704" w:rsidRPr="00051704" w:rsidRDefault="00051704" w:rsidP="00051704">
            <w:pPr>
              <w:widowControl/>
              <w:autoSpaceDE/>
              <w:autoSpaceDN/>
            </w:pPr>
            <w:r w:rsidRPr="00051704">
              <w:t>- After each initiative, we distribute a survey (Google Form) to participants to gather feedback.</w:t>
            </w:r>
          </w:p>
          <w:p w14:paraId="7254DC35" w14:textId="77777777" w:rsidR="00051704" w:rsidRPr="00051704" w:rsidRDefault="00051704" w:rsidP="00051704">
            <w:pPr>
              <w:widowControl/>
              <w:autoSpaceDE/>
              <w:autoSpaceDN/>
            </w:pPr>
            <w:r w:rsidRPr="00051704">
              <w:t>- Number of participants in each initiative.</w:t>
            </w:r>
          </w:p>
          <w:p w14:paraId="3C90D092" w14:textId="77777777" w:rsidR="00051704" w:rsidRPr="00051704" w:rsidRDefault="00051704" w:rsidP="00051704">
            <w:pPr>
              <w:widowControl/>
              <w:autoSpaceDE/>
              <w:autoSpaceDN/>
            </w:pPr>
            <w:r w:rsidRPr="00051704">
              <w:t>-Press release - closing the initiatives-.</w:t>
            </w:r>
          </w:p>
          <w:p w14:paraId="1A9E397F" w14:textId="77777777" w:rsidR="00051704" w:rsidRPr="00051704" w:rsidRDefault="00051704" w:rsidP="00051704">
            <w:pPr>
              <w:widowControl/>
              <w:autoSpaceDE/>
              <w:autoSpaceDN/>
            </w:pPr>
            <w:r w:rsidRPr="00051704">
              <w:t xml:space="preserve">- 4 success stories. </w:t>
            </w:r>
          </w:p>
        </w:tc>
        <w:tc>
          <w:tcPr>
            <w:tcW w:w="3203" w:type="dxa"/>
            <w:shd w:val="clear" w:color="auto" w:fill="F2F2F2" w:themeFill="background1" w:themeFillShade="F2"/>
            <w:vAlign w:val="center"/>
          </w:tcPr>
          <w:p w14:paraId="4310896A" w14:textId="77777777" w:rsidR="00051704" w:rsidRPr="00051704" w:rsidRDefault="00051704" w:rsidP="00051704">
            <w:pPr>
              <w:widowControl/>
              <w:autoSpaceDE/>
              <w:autoSpaceDN/>
            </w:pPr>
            <w:r w:rsidRPr="00051704">
              <w:t>- 200 participants.</w:t>
            </w:r>
          </w:p>
          <w:p w14:paraId="6C747DE6" w14:textId="77777777" w:rsidR="00051704" w:rsidRPr="00051704" w:rsidRDefault="00051704" w:rsidP="00051704">
            <w:pPr>
              <w:widowControl/>
              <w:autoSpaceDE/>
              <w:autoSpaceDN/>
            </w:pPr>
            <w:r w:rsidRPr="00051704">
              <w:t>- 4 success stories.</w:t>
            </w:r>
          </w:p>
          <w:p w14:paraId="4C0ECAF4" w14:textId="77777777" w:rsidR="00051704" w:rsidRPr="00051704" w:rsidRDefault="00051704" w:rsidP="00051704">
            <w:pPr>
              <w:widowControl/>
              <w:autoSpaceDE/>
              <w:autoSpaceDN/>
            </w:pPr>
            <w:r w:rsidRPr="00051704">
              <w:t>- One Press release.</w:t>
            </w:r>
          </w:p>
        </w:tc>
      </w:tr>
      <w:tr w:rsidR="00051704" w:rsidRPr="00051704" w14:paraId="45FB555E" w14:textId="77777777" w:rsidTr="00EB48C2">
        <w:trPr>
          <w:jc w:val="center"/>
        </w:trPr>
        <w:tc>
          <w:tcPr>
            <w:tcW w:w="2695" w:type="dxa"/>
            <w:shd w:val="clear" w:color="auto" w:fill="F2F2F2" w:themeFill="background1" w:themeFillShade="F2"/>
            <w:vAlign w:val="center"/>
          </w:tcPr>
          <w:p w14:paraId="2A25E103" w14:textId="044DBF42" w:rsidR="00051704" w:rsidRPr="00051704" w:rsidRDefault="00C72E90" w:rsidP="00051704">
            <w:pPr>
              <w:widowControl/>
              <w:autoSpaceDE/>
              <w:autoSpaceDN/>
              <w:rPr>
                <w:b/>
                <w:bCs/>
              </w:rPr>
            </w:pPr>
            <w:r>
              <w:rPr>
                <w:b/>
                <w:bCs/>
              </w:rPr>
              <w:t>Communications Strategy Rollout</w:t>
            </w:r>
          </w:p>
        </w:tc>
        <w:tc>
          <w:tcPr>
            <w:tcW w:w="8910" w:type="dxa"/>
            <w:shd w:val="clear" w:color="auto" w:fill="F2F2F2" w:themeFill="background1" w:themeFillShade="F2"/>
            <w:vAlign w:val="center"/>
          </w:tcPr>
          <w:p w14:paraId="0A36048A" w14:textId="77777777" w:rsidR="00051704" w:rsidRPr="00051704" w:rsidRDefault="00051704" w:rsidP="00051704">
            <w:pPr>
              <w:widowControl/>
              <w:autoSpaceDE/>
              <w:autoSpaceDN/>
            </w:pPr>
            <w:r w:rsidRPr="00051704">
              <w:t>- Number of participants.</w:t>
            </w:r>
          </w:p>
          <w:p w14:paraId="5558CA71" w14:textId="77777777" w:rsidR="00051704" w:rsidRPr="00051704" w:rsidRDefault="00051704" w:rsidP="00051704">
            <w:pPr>
              <w:widowControl/>
              <w:autoSpaceDE/>
              <w:autoSpaceDN/>
            </w:pPr>
            <w:r w:rsidRPr="00051704">
              <w:t>- The communications team is responsible for delivering quarterly communications reports that focus on an internal examination to assess the effectiveness and outreach of our communications initiatives. I will compile these quarterly reports, develop a comprehensive report, and share it with the UN Women.</w:t>
            </w:r>
          </w:p>
          <w:p w14:paraId="4A5B469D" w14:textId="77777777" w:rsidR="00051704" w:rsidRPr="00051704" w:rsidRDefault="00051704" w:rsidP="00051704">
            <w:pPr>
              <w:widowControl/>
              <w:autoSpaceDE/>
              <w:autoSpaceDN/>
            </w:pPr>
            <w:r w:rsidRPr="00051704">
              <w:t>- Press release after the synchronous meeting.</w:t>
            </w:r>
          </w:p>
        </w:tc>
        <w:tc>
          <w:tcPr>
            <w:tcW w:w="3203" w:type="dxa"/>
            <w:shd w:val="clear" w:color="auto" w:fill="F2F2F2" w:themeFill="background1" w:themeFillShade="F2"/>
            <w:vAlign w:val="center"/>
          </w:tcPr>
          <w:p w14:paraId="2AB0CEA7" w14:textId="465D852B" w:rsidR="00051704" w:rsidRPr="00051704" w:rsidRDefault="00051704" w:rsidP="00051704">
            <w:pPr>
              <w:widowControl/>
              <w:autoSpaceDE/>
              <w:autoSpaceDN/>
            </w:pPr>
            <w:r w:rsidRPr="00051704">
              <w:t xml:space="preserve">-  </w:t>
            </w:r>
            <w:r w:rsidR="00FC18DC">
              <w:t>3</w:t>
            </w:r>
            <w:r w:rsidRPr="00051704">
              <w:rPr>
                <w:bCs/>
              </w:rPr>
              <w:t>0 attendees.</w:t>
            </w:r>
          </w:p>
          <w:p w14:paraId="51AF1D13" w14:textId="77777777" w:rsidR="00051704" w:rsidRPr="00051704" w:rsidRDefault="00051704" w:rsidP="00051704">
            <w:pPr>
              <w:widowControl/>
              <w:autoSpaceDE/>
              <w:autoSpaceDN/>
            </w:pPr>
            <w:r w:rsidRPr="00051704">
              <w:t>- One Press release.</w:t>
            </w:r>
          </w:p>
        </w:tc>
      </w:tr>
      <w:tr w:rsidR="00051704" w:rsidRPr="00051704" w14:paraId="358649FB" w14:textId="77777777" w:rsidTr="00EB48C2">
        <w:trPr>
          <w:jc w:val="center"/>
        </w:trPr>
        <w:tc>
          <w:tcPr>
            <w:tcW w:w="2695" w:type="dxa"/>
            <w:shd w:val="clear" w:color="auto" w:fill="F2F2F2" w:themeFill="background1" w:themeFillShade="F2"/>
            <w:vAlign w:val="center"/>
          </w:tcPr>
          <w:p w14:paraId="5606CD77" w14:textId="77777777" w:rsidR="00051704" w:rsidRPr="00051704" w:rsidRDefault="00051704" w:rsidP="00051704">
            <w:pPr>
              <w:widowControl/>
              <w:autoSpaceDE/>
              <w:autoSpaceDN/>
              <w:rPr>
                <w:b/>
                <w:bCs/>
              </w:rPr>
            </w:pPr>
            <w:r w:rsidRPr="00051704">
              <w:rPr>
                <w:b/>
                <w:bCs/>
              </w:rPr>
              <w:t>WPS Photo Gallery on UNSCR 1325</w:t>
            </w:r>
          </w:p>
        </w:tc>
        <w:tc>
          <w:tcPr>
            <w:tcW w:w="8910" w:type="dxa"/>
            <w:shd w:val="clear" w:color="auto" w:fill="F2F2F2" w:themeFill="background1" w:themeFillShade="F2"/>
            <w:vAlign w:val="center"/>
          </w:tcPr>
          <w:p w14:paraId="5E0531A9" w14:textId="77777777" w:rsidR="00051704" w:rsidRPr="00051704" w:rsidRDefault="00051704" w:rsidP="00051704">
            <w:pPr>
              <w:widowControl/>
              <w:autoSpaceDE/>
              <w:autoSpaceDN/>
            </w:pPr>
            <w:r w:rsidRPr="00051704">
              <w:t>- Landing Page.</w:t>
            </w:r>
          </w:p>
          <w:p w14:paraId="084EFBA9" w14:textId="77777777" w:rsidR="00051704" w:rsidRPr="00051704" w:rsidRDefault="00051704" w:rsidP="00051704">
            <w:pPr>
              <w:widowControl/>
              <w:autoSpaceDE/>
              <w:autoSpaceDN/>
            </w:pPr>
            <w:r w:rsidRPr="00051704">
              <w:t>- 200 high-quality photographs.</w:t>
            </w:r>
          </w:p>
          <w:p w14:paraId="59193F03" w14:textId="77777777" w:rsidR="00051704" w:rsidRPr="00051704" w:rsidRDefault="00051704" w:rsidP="00051704">
            <w:pPr>
              <w:widowControl/>
              <w:autoSpaceDE/>
              <w:autoSpaceDN/>
            </w:pPr>
            <w:r w:rsidRPr="00051704">
              <w:t>-20 stories of change.</w:t>
            </w:r>
          </w:p>
          <w:p w14:paraId="38932DE8" w14:textId="77777777" w:rsidR="00051704" w:rsidRPr="00051704" w:rsidRDefault="00051704" w:rsidP="00051704">
            <w:pPr>
              <w:widowControl/>
              <w:autoSpaceDE/>
              <w:autoSpaceDN/>
            </w:pPr>
            <w:r w:rsidRPr="00051704">
              <w:t>- Press release after launching the landing page.</w:t>
            </w:r>
          </w:p>
        </w:tc>
        <w:tc>
          <w:tcPr>
            <w:tcW w:w="3203" w:type="dxa"/>
            <w:shd w:val="clear" w:color="auto" w:fill="F2F2F2" w:themeFill="background1" w:themeFillShade="F2"/>
            <w:vAlign w:val="center"/>
          </w:tcPr>
          <w:p w14:paraId="0154F2A1" w14:textId="77777777" w:rsidR="00051704" w:rsidRPr="00051704" w:rsidRDefault="00051704" w:rsidP="00051704">
            <w:pPr>
              <w:widowControl/>
              <w:autoSpaceDE/>
              <w:autoSpaceDN/>
            </w:pPr>
            <w:r w:rsidRPr="00051704">
              <w:t>- One Landing page.</w:t>
            </w:r>
          </w:p>
          <w:p w14:paraId="32ECB9B2" w14:textId="77777777" w:rsidR="00051704" w:rsidRPr="00051704" w:rsidRDefault="00051704" w:rsidP="00051704">
            <w:pPr>
              <w:widowControl/>
              <w:autoSpaceDE/>
              <w:autoSpaceDN/>
            </w:pPr>
            <w:r w:rsidRPr="00051704">
              <w:t>- 200 high-quality photographs.</w:t>
            </w:r>
          </w:p>
          <w:p w14:paraId="3E9CA5C7" w14:textId="77777777" w:rsidR="00051704" w:rsidRPr="00051704" w:rsidRDefault="00051704" w:rsidP="00051704">
            <w:pPr>
              <w:widowControl/>
              <w:autoSpaceDE/>
              <w:autoSpaceDN/>
            </w:pPr>
            <w:r w:rsidRPr="00051704">
              <w:t>-20 stories of change.</w:t>
            </w:r>
          </w:p>
          <w:p w14:paraId="1A90868B" w14:textId="77777777" w:rsidR="00051704" w:rsidRPr="00051704" w:rsidRDefault="00051704" w:rsidP="00051704">
            <w:pPr>
              <w:widowControl/>
              <w:autoSpaceDE/>
              <w:autoSpaceDN/>
            </w:pPr>
            <w:r w:rsidRPr="00051704">
              <w:t>- One Press release</w:t>
            </w:r>
          </w:p>
        </w:tc>
      </w:tr>
      <w:tr w:rsidR="00051704" w:rsidRPr="00051704" w14:paraId="4F73CC4D" w14:textId="77777777" w:rsidTr="00EB48C2">
        <w:trPr>
          <w:jc w:val="center"/>
        </w:trPr>
        <w:tc>
          <w:tcPr>
            <w:tcW w:w="2695" w:type="dxa"/>
            <w:shd w:val="clear" w:color="auto" w:fill="F2F2F2" w:themeFill="background1" w:themeFillShade="F2"/>
            <w:vAlign w:val="center"/>
          </w:tcPr>
          <w:p w14:paraId="7BD0E098" w14:textId="77777777" w:rsidR="00051704" w:rsidRPr="00051704" w:rsidRDefault="00051704" w:rsidP="00051704">
            <w:pPr>
              <w:widowControl/>
              <w:autoSpaceDE/>
              <w:autoSpaceDN/>
              <w:rPr>
                <w:b/>
                <w:bCs/>
              </w:rPr>
            </w:pPr>
            <w:r w:rsidRPr="00051704">
              <w:rPr>
                <w:b/>
                <w:bCs/>
              </w:rPr>
              <w:t>Four Short Videos</w:t>
            </w:r>
          </w:p>
        </w:tc>
        <w:tc>
          <w:tcPr>
            <w:tcW w:w="8910" w:type="dxa"/>
            <w:shd w:val="clear" w:color="auto" w:fill="F2F2F2" w:themeFill="background1" w:themeFillShade="F2"/>
            <w:vAlign w:val="center"/>
          </w:tcPr>
          <w:p w14:paraId="17453330" w14:textId="77777777" w:rsidR="00051704" w:rsidRPr="00051704" w:rsidRDefault="00051704" w:rsidP="00051704">
            <w:pPr>
              <w:widowControl/>
              <w:autoSpaceDE/>
              <w:autoSpaceDN/>
            </w:pPr>
            <w:r w:rsidRPr="00051704">
              <w:t>-Four videos.</w:t>
            </w:r>
          </w:p>
          <w:p w14:paraId="54C9779A" w14:textId="77777777" w:rsidR="00051704" w:rsidRPr="00051704" w:rsidRDefault="00051704" w:rsidP="00051704">
            <w:pPr>
              <w:widowControl/>
              <w:autoSpaceDE/>
              <w:autoSpaceDN/>
            </w:pPr>
            <w:r w:rsidRPr="00051704">
              <w:t>- Monitor social media engagement for the videos (likes, comments, reach, and shares).</w:t>
            </w:r>
          </w:p>
        </w:tc>
        <w:tc>
          <w:tcPr>
            <w:tcW w:w="3203" w:type="dxa"/>
            <w:shd w:val="clear" w:color="auto" w:fill="F2F2F2" w:themeFill="background1" w:themeFillShade="F2"/>
            <w:vAlign w:val="center"/>
          </w:tcPr>
          <w:p w14:paraId="4FFE2D81" w14:textId="77777777" w:rsidR="00051704" w:rsidRPr="00051704" w:rsidRDefault="00051704" w:rsidP="00051704">
            <w:pPr>
              <w:widowControl/>
              <w:autoSpaceDE/>
              <w:autoSpaceDN/>
            </w:pPr>
          </w:p>
          <w:p w14:paraId="6524908B" w14:textId="77777777" w:rsidR="00051704" w:rsidRPr="00051704" w:rsidRDefault="00051704" w:rsidP="00051704">
            <w:pPr>
              <w:widowControl/>
              <w:autoSpaceDE/>
              <w:autoSpaceDN/>
            </w:pPr>
            <w:r w:rsidRPr="00051704">
              <w:t>- 4 videos.</w:t>
            </w:r>
          </w:p>
          <w:p w14:paraId="46CA06CD" w14:textId="77777777" w:rsidR="00051704" w:rsidRPr="00051704" w:rsidRDefault="00051704" w:rsidP="00051704">
            <w:pPr>
              <w:widowControl/>
              <w:autoSpaceDE/>
              <w:autoSpaceDN/>
            </w:pPr>
          </w:p>
        </w:tc>
      </w:tr>
      <w:tr w:rsidR="00051704" w:rsidRPr="00051704" w14:paraId="66BB1B0C" w14:textId="77777777" w:rsidTr="00EB48C2">
        <w:trPr>
          <w:jc w:val="center"/>
        </w:trPr>
        <w:tc>
          <w:tcPr>
            <w:tcW w:w="2695" w:type="dxa"/>
            <w:shd w:val="clear" w:color="auto" w:fill="F2F2F2" w:themeFill="background1" w:themeFillShade="F2"/>
            <w:vAlign w:val="center"/>
          </w:tcPr>
          <w:p w14:paraId="28717A0B" w14:textId="77777777" w:rsidR="00051704" w:rsidRPr="00051704" w:rsidRDefault="00051704" w:rsidP="00051704">
            <w:pPr>
              <w:widowControl/>
              <w:autoSpaceDE/>
              <w:autoSpaceDN/>
              <w:rPr>
                <w:b/>
                <w:bCs/>
              </w:rPr>
            </w:pPr>
            <w:r w:rsidRPr="00051704">
              <w:rPr>
                <w:b/>
                <w:bCs/>
              </w:rPr>
              <w:t>Numbers of the Social Media Posts</w:t>
            </w:r>
          </w:p>
        </w:tc>
        <w:tc>
          <w:tcPr>
            <w:tcW w:w="8910" w:type="dxa"/>
            <w:shd w:val="clear" w:color="auto" w:fill="F2F2F2" w:themeFill="background1" w:themeFillShade="F2"/>
            <w:vAlign w:val="center"/>
          </w:tcPr>
          <w:p w14:paraId="2463CA32" w14:textId="77777777" w:rsidR="00051704" w:rsidRPr="00051704" w:rsidRDefault="00051704" w:rsidP="00051704">
            <w:pPr>
              <w:widowControl/>
              <w:autoSpaceDE/>
              <w:autoSpaceDN/>
            </w:pPr>
            <w:r w:rsidRPr="00051704">
              <w:t xml:space="preserve"> 3 per month, totaling 27 posts on social media platforms (Facebook, Instagram, and X) in 2024, and 36 posts in 2025.</w:t>
            </w:r>
          </w:p>
        </w:tc>
        <w:tc>
          <w:tcPr>
            <w:tcW w:w="3203" w:type="dxa"/>
            <w:shd w:val="clear" w:color="auto" w:fill="F2F2F2" w:themeFill="background1" w:themeFillShade="F2"/>
            <w:vAlign w:val="center"/>
          </w:tcPr>
          <w:p w14:paraId="23509D9B" w14:textId="77777777" w:rsidR="00051704" w:rsidRPr="00051704" w:rsidRDefault="00051704" w:rsidP="00051704">
            <w:pPr>
              <w:widowControl/>
              <w:autoSpaceDE/>
              <w:autoSpaceDN/>
            </w:pPr>
            <w:r w:rsidRPr="00051704">
              <w:t>- 63 posts on social media platforms.</w:t>
            </w:r>
          </w:p>
        </w:tc>
      </w:tr>
      <w:tr w:rsidR="00051704" w:rsidRPr="00051704" w14:paraId="55F9D663" w14:textId="77777777" w:rsidTr="00EB48C2">
        <w:trPr>
          <w:jc w:val="center"/>
        </w:trPr>
        <w:tc>
          <w:tcPr>
            <w:tcW w:w="2695" w:type="dxa"/>
            <w:shd w:val="clear" w:color="auto" w:fill="F2F2F2" w:themeFill="background1" w:themeFillShade="F2"/>
            <w:vAlign w:val="center"/>
          </w:tcPr>
          <w:p w14:paraId="33099019" w14:textId="13E8C513" w:rsidR="00051704" w:rsidRPr="00051704" w:rsidRDefault="00F92245" w:rsidP="00051704">
            <w:pPr>
              <w:widowControl/>
              <w:autoSpaceDE/>
              <w:autoSpaceDN/>
              <w:rPr>
                <w:b/>
                <w:bCs/>
              </w:rPr>
            </w:pPr>
            <w:r>
              <w:rPr>
                <w:b/>
                <w:bCs/>
              </w:rPr>
              <w:t>Number</w:t>
            </w:r>
            <w:r w:rsidR="00051704" w:rsidRPr="00051704">
              <w:rPr>
                <w:b/>
                <w:bCs/>
              </w:rPr>
              <w:t xml:space="preserve"> of Press Releases</w:t>
            </w:r>
          </w:p>
        </w:tc>
        <w:tc>
          <w:tcPr>
            <w:tcW w:w="8910" w:type="dxa"/>
            <w:shd w:val="clear" w:color="auto" w:fill="F2F2F2" w:themeFill="background1" w:themeFillShade="F2"/>
            <w:vAlign w:val="center"/>
          </w:tcPr>
          <w:p w14:paraId="10E9E8C6" w14:textId="40595F45" w:rsidR="00051704" w:rsidRPr="00051704" w:rsidRDefault="00051704" w:rsidP="00051704">
            <w:pPr>
              <w:widowControl/>
              <w:autoSpaceDE/>
              <w:autoSpaceDN/>
            </w:pPr>
            <w:r w:rsidRPr="00051704">
              <w:t>3 press releases in 2024 and 5 press releases in 2025</w:t>
            </w:r>
          </w:p>
        </w:tc>
        <w:tc>
          <w:tcPr>
            <w:tcW w:w="3203" w:type="dxa"/>
            <w:shd w:val="clear" w:color="auto" w:fill="F2F2F2" w:themeFill="background1" w:themeFillShade="F2"/>
            <w:vAlign w:val="center"/>
          </w:tcPr>
          <w:p w14:paraId="7893B7A9" w14:textId="77777777" w:rsidR="00051704" w:rsidRPr="00051704" w:rsidRDefault="00051704" w:rsidP="00051704">
            <w:pPr>
              <w:widowControl/>
              <w:autoSpaceDE/>
              <w:autoSpaceDN/>
            </w:pPr>
            <w:r w:rsidRPr="00051704">
              <w:t>- 8 Press Releases.</w:t>
            </w:r>
          </w:p>
        </w:tc>
      </w:tr>
    </w:tbl>
    <w:p w14:paraId="3583F646" w14:textId="3B510428" w:rsidR="00051704" w:rsidRPr="00C3610F" w:rsidRDefault="00051704" w:rsidP="00C3610F">
      <w:pPr>
        <w:rPr>
          <w:lang w:val="en-GB"/>
        </w:rPr>
      </w:pPr>
    </w:p>
    <w:sectPr w:rsidR="00051704" w:rsidRPr="00C3610F" w:rsidSect="00A35CD5">
      <w:pgSz w:w="15840" w:h="12240" w:orient="landscape"/>
      <w:pgMar w:top="1339" w:right="504" w:bottom="922" w:left="518" w:header="776" w:footer="7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4CB16" w14:textId="77777777" w:rsidR="00531518" w:rsidRDefault="00531518">
      <w:pPr>
        <w:spacing w:after="0" w:line="240" w:lineRule="auto"/>
      </w:pPr>
      <w:r>
        <w:separator/>
      </w:r>
    </w:p>
  </w:endnote>
  <w:endnote w:type="continuationSeparator" w:id="0">
    <w:p w14:paraId="05047A4B" w14:textId="77777777" w:rsidR="00531518" w:rsidRDefault="0053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F53C" w14:textId="77777777" w:rsidR="00EB4521" w:rsidRDefault="00EB452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9DED1E6" wp14:editId="24274896">
              <wp:simplePos x="0" y="0"/>
              <wp:positionH relativeFrom="page">
                <wp:posOffset>8225408</wp:posOffset>
              </wp:positionH>
              <wp:positionV relativeFrom="page">
                <wp:posOffset>7163511</wp:posOffset>
              </wp:positionV>
              <wp:extent cx="93408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65735"/>
                      </a:xfrm>
                      <a:prstGeom prst="rect">
                        <a:avLst/>
                      </a:prstGeom>
                    </wps:spPr>
                    <wps:txbx>
                      <w:txbxContent>
                        <w:p w14:paraId="36C923DF" w14:textId="77777777" w:rsidR="00EB4521" w:rsidRDefault="00EB4521">
                          <w:pPr>
                            <w:spacing w:line="245" w:lineRule="exact"/>
                            <w:ind w:left="20"/>
                            <w:rPr>
                              <w:b/>
                            </w:rPr>
                          </w:pPr>
                        </w:p>
                      </w:txbxContent>
                    </wps:txbx>
                    <wps:bodyPr wrap="square" lIns="0" tIns="0" rIns="0" bIns="0" rtlCol="0">
                      <a:noAutofit/>
                    </wps:bodyPr>
                  </wps:wsp>
                </a:graphicData>
              </a:graphic>
            </wp:anchor>
          </w:drawing>
        </mc:Choice>
        <mc:Fallback>
          <w:pict>
            <v:shapetype w14:anchorId="69DED1E6" id="_x0000_t202" coordsize="21600,21600" o:spt="202" path="m,l,21600r21600,l21600,xe">
              <v:stroke joinstyle="miter"/>
              <v:path gradientshapeok="t" o:connecttype="rect"/>
            </v:shapetype>
            <v:shape id="Textbox 2" o:spid="_x0000_s1026" type="#_x0000_t202" style="position:absolute;margin-left:647.65pt;margin-top:564.05pt;width:73.5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" filled="f" stroked="f">
              <v:path arrowok="t"/>
              <v:textbox inset="0,0,0,0">
                <w:txbxContent>
                  <w:p w14:paraId="36C923DF" w14:textId="77777777" w:rsidR="00EB4521" w:rsidRDefault="00EB4521">
                    <w:pPr>
                      <w:spacing w:line="245" w:lineRule="exact"/>
                      <w:ind w:left="20"/>
                      <w:rPr>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78A4" w14:textId="77777777" w:rsidR="00EB4521" w:rsidRDefault="00EB4521">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508AA21E" wp14:editId="717A3F06">
              <wp:simplePos x="0" y="0"/>
              <wp:positionH relativeFrom="page">
                <wp:posOffset>8225408</wp:posOffset>
              </wp:positionH>
              <wp:positionV relativeFrom="page">
                <wp:posOffset>7163511</wp:posOffset>
              </wp:positionV>
              <wp:extent cx="934085" cy="165735"/>
              <wp:effectExtent l="0" t="0" r="0" b="0"/>
              <wp:wrapNone/>
              <wp:docPr id="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65735"/>
                      </a:xfrm>
                      <a:prstGeom prst="rect">
                        <a:avLst/>
                      </a:prstGeom>
                    </wps:spPr>
                    <wps:txbx>
                      <w:txbxContent>
                        <w:p w14:paraId="32439C81" w14:textId="77777777" w:rsidR="00EB4521" w:rsidRDefault="00EB4521">
                          <w:pPr>
                            <w:spacing w:line="245" w:lineRule="exact"/>
                            <w:ind w:left="20"/>
                            <w:rPr>
                              <w:b/>
                            </w:rPr>
                          </w:pPr>
                        </w:p>
                      </w:txbxContent>
                    </wps:txbx>
                    <wps:bodyPr wrap="square" lIns="0" tIns="0" rIns="0" bIns="0" rtlCol="0">
                      <a:noAutofit/>
                    </wps:bodyPr>
                  </wps:wsp>
                </a:graphicData>
              </a:graphic>
            </wp:anchor>
          </w:drawing>
        </mc:Choice>
        <mc:Fallback>
          <w:pict>
            <v:shapetype w14:anchorId="508AA21E" id="_x0000_t202" coordsize="21600,21600" o:spt="202" path="m,l,21600r21600,l21600,xe">
              <v:stroke joinstyle="miter"/>
              <v:path gradientshapeok="t" o:connecttype="rect"/>
            </v:shapetype>
            <v:shape id="_x0000_s1027" type="#_x0000_t202" style="position:absolute;margin-left:647.65pt;margin-top:564.05pt;width:73.5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" filled="f" stroked="f">
              <v:path arrowok="t"/>
              <v:textbox inset="0,0,0,0">
                <w:txbxContent>
                  <w:p w14:paraId="32439C81" w14:textId="77777777" w:rsidR="00EB4521" w:rsidRDefault="00EB4521">
                    <w:pPr>
                      <w:spacing w:line="245"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A95DC" w14:textId="77777777" w:rsidR="00531518" w:rsidRDefault="00531518">
      <w:pPr>
        <w:spacing w:after="0" w:line="240" w:lineRule="auto"/>
      </w:pPr>
      <w:r>
        <w:separator/>
      </w:r>
    </w:p>
  </w:footnote>
  <w:footnote w:type="continuationSeparator" w:id="0">
    <w:p w14:paraId="41A61EEF" w14:textId="77777777" w:rsidR="00531518" w:rsidRDefault="0053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55C4" w14:textId="77777777" w:rsidR="00EB4521" w:rsidRDefault="00EB452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16ED" w14:textId="77777777" w:rsidR="00EB4521" w:rsidRDefault="00EB452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6E4"/>
    <w:multiLevelType w:val="hybridMultilevel"/>
    <w:tmpl w:val="C40E056A"/>
    <w:lvl w:ilvl="0" w:tplc="7916C3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44CA"/>
    <w:multiLevelType w:val="hybridMultilevel"/>
    <w:tmpl w:val="7F02D022"/>
    <w:lvl w:ilvl="0" w:tplc="B74EB58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31FB"/>
    <w:multiLevelType w:val="hybridMultilevel"/>
    <w:tmpl w:val="3464704C"/>
    <w:lvl w:ilvl="0" w:tplc="6826E5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86415"/>
    <w:multiLevelType w:val="hybridMultilevel"/>
    <w:tmpl w:val="758C010E"/>
    <w:lvl w:ilvl="0" w:tplc="6826E5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34158"/>
    <w:multiLevelType w:val="hybridMultilevel"/>
    <w:tmpl w:val="547CADEC"/>
    <w:lvl w:ilvl="0" w:tplc="08090001">
      <w:start w:val="1"/>
      <w:numFmt w:val="bullet"/>
      <w:lvlText w:val=""/>
      <w:lvlJc w:val="left"/>
      <w:pPr>
        <w:ind w:left="829" w:hanging="360"/>
      </w:pPr>
      <w:rPr>
        <w:rFonts w:ascii="Symbol" w:hAnsi="Symbol" w:hint="default"/>
      </w:rPr>
    </w:lvl>
    <w:lvl w:ilvl="1" w:tplc="96F82AD4">
      <w:numFmt w:val="bullet"/>
      <w:lvlText w:val="•"/>
      <w:lvlJc w:val="left"/>
      <w:pPr>
        <w:ind w:left="2367" w:hanging="1178"/>
      </w:pPr>
      <w:rPr>
        <w:rFonts w:ascii="Calibri" w:eastAsia="Calibri" w:hAnsi="Calibri" w:cs="Calibri" w:hint="default"/>
      </w:rPr>
    </w:lvl>
    <w:lvl w:ilvl="2" w:tplc="D51293F6">
      <w:start w:val="1"/>
      <w:numFmt w:val="bullet"/>
      <w:lvlText w:val="-"/>
      <w:lvlJc w:val="left"/>
      <w:pPr>
        <w:ind w:left="3087" w:hanging="1178"/>
      </w:pPr>
      <w:rPr>
        <w:rFonts w:ascii="Calibri" w:eastAsia="Calibri" w:hAnsi="Calibri" w:cs="Calibri"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5" w15:restartNumberingAfterBreak="0">
    <w:nsid w:val="317D43FD"/>
    <w:multiLevelType w:val="hybridMultilevel"/>
    <w:tmpl w:val="0B7E466E"/>
    <w:lvl w:ilvl="0" w:tplc="6826E5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E134C"/>
    <w:multiLevelType w:val="hybridMultilevel"/>
    <w:tmpl w:val="227C36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6A63209"/>
    <w:multiLevelType w:val="hybridMultilevel"/>
    <w:tmpl w:val="4B6AAFE4"/>
    <w:lvl w:ilvl="0" w:tplc="6826E5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E3280"/>
    <w:multiLevelType w:val="hybridMultilevel"/>
    <w:tmpl w:val="19C028AA"/>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4AD45B0E"/>
    <w:multiLevelType w:val="hybridMultilevel"/>
    <w:tmpl w:val="98C2EE30"/>
    <w:lvl w:ilvl="0" w:tplc="B74EB58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D2DB2"/>
    <w:multiLevelType w:val="hybridMultilevel"/>
    <w:tmpl w:val="BE06740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1" w15:restartNumberingAfterBreak="0">
    <w:nsid w:val="531926C5"/>
    <w:multiLevelType w:val="hybridMultilevel"/>
    <w:tmpl w:val="220C774E"/>
    <w:lvl w:ilvl="0" w:tplc="6826E5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0370C"/>
    <w:multiLevelType w:val="hybridMultilevel"/>
    <w:tmpl w:val="2F2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961A0"/>
    <w:multiLevelType w:val="hybridMultilevel"/>
    <w:tmpl w:val="1354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A29FE"/>
    <w:multiLevelType w:val="hybridMultilevel"/>
    <w:tmpl w:val="68EA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968D7"/>
    <w:multiLevelType w:val="hybridMultilevel"/>
    <w:tmpl w:val="D7766DFC"/>
    <w:lvl w:ilvl="0" w:tplc="7916C3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A08D6"/>
    <w:multiLevelType w:val="hybridMultilevel"/>
    <w:tmpl w:val="9AA09598"/>
    <w:lvl w:ilvl="0" w:tplc="B74EB58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2"/>
  </w:num>
  <w:num w:numId="5">
    <w:abstractNumId w:val="11"/>
  </w:num>
  <w:num w:numId="6">
    <w:abstractNumId w:val="13"/>
  </w:num>
  <w:num w:numId="7">
    <w:abstractNumId w:val="15"/>
  </w:num>
  <w:num w:numId="8">
    <w:abstractNumId w:val="0"/>
  </w:num>
  <w:num w:numId="9">
    <w:abstractNumId w:val="3"/>
  </w:num>
  <w:num w:numId="10">
    <w:abstractNumId w:val="9"/>
  </w:num>
  <w:num w:numId="11">
    <w:abstractNumId w:val="1"/>
  </w:num>
  <w:num w:numId="12">
    <w:abstractNumId w:val="16"/>
  </w:num>
  <w:num w:numId="13">
    <w:abstractNumId w:val="6"/>
  </w:num>
  <w:num w:numId="14">
    <w:abstractNumId w:val="10"/>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ED"/>
    <w:rsid w:val="00013561"/>
    <w:rsid w:val="00030BF3"/>
    <w:rsid w:val="00051704"/>
    <w:rsid w:val="00062360"/>
    <w:rsid w:val="000769CE"/>
    <w:rsid w:val="000826A2"/>
    <w:rsid w:val="000A6F74"/>
    <w:rsid w:val="000B4D07"/>
    <w:rsid w:val="000C33F6"/>
    <w:rsid w:val="000C44A2"/>
    <w:rsid w:val="00104BE2"/>
    <w:rsid w:val="00111AE9"/>
    <w:rsid w:val="00120E83"/>
    <w:rsid w:val="00134F37"/>
    <w:rsid w:val="001602BF"/>
    <w:rsid w:val="00161970"/>
    <w:rsid w:val="0016764B"/>
    <w:rsid w:val="00190CF1"/>
    <w:rsid w:val="00192AE4"/>
    <w:rsid w:val="001A3AF2"/>
    <w:rsid w:val="001B088C"/>
    <w:rsid w:val="001E29AE"/>
    <w:rsid w:val="001E41EE"/>
    <w:rsid w:val="001F4219"/>
    <w:rsid w:val="002207DD"/>
    <w:rsid w:val="00236DAE"/>
    <w:rsid w:val="00241643"/>
    <w:rsid w:val="00253018"/>
    <w:rsid w:val="0026163C"/>
    <w:rsid w:val="00267A3A"/>
    <w:rsid w:val="002750FD"/>
    <w:rsid w:val="00290921"/>
    <w:rsid w:val="0029618F"/>
    <w:rsid w:val="002E6F06"/>
    <w:rsid w:val="002E6F9E"/>
    <w:rsid w:val="002E756B"/>
    <w:rsid w:val="00305A93"/>
    <w:rsid w:val="00306CF2"/>
    <w:rsid w:val="003324D9"/>
    <w:rsid w:val="0033514F"/>
    <w:rsid w:val="00340129"/>
    <w:rsid w:val="003401B8"/>
    <w:rsid w:val="00350C80"/>
    <w:rsid w:val="003524EF"/>
    <w:rsid w:val="0035417E"/>
    <w:rsid w:val="003D103D"/>
    <w:rsid w:val="0041786D"/>
    <w:rsid w:val="00427BE0"/>
    <w:rsid w:val="0045381C"/>
    <w:rsid w:val="00455CC7"/>
    <w:rsid w:val="0048074B"/>
    <w:rsid w:val="004A12FB"/>
    <w:rsid w:val="004D0233"/>
    <w:rsid w:val="004F1319"/>
    <w:rsid w:val="00500482"/>
    <w:rsid w:val="005015FE"/>
    <w:rsid w:val="00524EC2"/>
    <w:rsid w:val="00531518"/>
    <w:rsid w:val="00556CED"/>
    <w:rsid w:val="005870C1"/>
    <w:rsid w:val="0059415C"/>
    <w:rsid w:val="005961F7"/>
    <w:rsid w:val="005D5E23"/>
    <w:rsid w:val="00634137"/>
    <w:rsid w:val="00637AD1"/>
    <w:rsid w:val="00660D9C"/>
    <w:rsid w:val="006676C5"/>
    <w:rsid w:val="00674642"/>
    <w:rsid w:val="00690F74"/>
    <w:rsid w:val="006975CD"/>
    <w:rsid w:val="006B6001"/>
    <w:rsid w:val="006C3C63"/>
    <w:rsid w:val="006D2CDF"/>
    <w:rsid w:val="006E032A"/>
    <w:rsid w:val="006E07E8"/>
    <w:rsid w:val="00704968"/>
    <w:rsid w:val="00721BAB"/>
    <w:rsid w:val="007732D0"/>
    <w:rsid w:val="007910E0"/>
    <w:rsid w:val="00791215"/>
    <w:rsid w:val="00792824"/>
    <w:rsid w:val="007A068B"/>
    <w:rsid w:val="007B3C79"/>
    <w:rsid w:val="007D268C"/>
    <w:rsid w:val="007F6112"/>
    <w:rsid w:val="00802750"/>
    <w:rsid w:val="00813AD0"/>
    <w:rsid w:val="00825393"/>
    <w:rsid w:val="00832F44"/>
    <w:rsid w:val="0084225E"/>
    <w:rsid w:val="0084378D"/>
    <w:rsid w:val="00857489"/>
    <w:rsid w:val="00860536"/>
    <w:rsid w:val="00862E02"/>
    <w:rsid w:val="0088782F"/>
    <w:rsid w:val="008A079E"/>
    <w:rsid w:val="008D5201"/>
    <w:rsid w:val="00903A01"/>
    <w:rsid w:val="0092198A"/>
    <w:rsid w:val="009951A4"/>
    <w:rsid w:val="009955DF"/>
    <w:rsid w:val="009F194F"/>
    <w:rsid w:val="009F41EF"/>
    <w:rsid w:val="00A056F8"/>
    <w:rsid w:val="00A05E34"/>
    <w:rsid w:val="00A210EA"/>
    <w:rsid w:val="00A2522D"/>
    <w:rsid w:val="00A35CD5"/>
    <w:rsid w:val="00A440DA"/>
    <w:rsid w:val="00A54D69"/>
    <w:rsid w:val="00A742D9"/>
    <w:rsid w:val="00A75801"/>
    <w:rsid w:val="00A9173B"/>
    <w:rsid w:val="00AB451D"/>
    <w:rsid w:val="00AB5F07"/>
    <w:rsid w:val="00AB6863"/>
    <w:rsid w:val="00AC1405"/>
    <w:rsid w:val="00AD4F9C"/>
    <w:rsid w:val="00AF50A7"/>
    <w:rsid w:val="00B01076"/>
    <w:rsid w:val="00B050F3"/>
    <w:rsid w:val="00B062ED"/>
    <w:rsid w:val="00B120CF"/>
    <w:rsid w:val="00B15E19"/>
    <w:rsid w:val="00B1665E"/>
    <w:rsid w:val="00B30B5E"/>
    <w:rsid w:val="00B3516F"/>
    <w:rsid w:val="00B41F9F"/>
    <w:rsid w:val="00B55CB9"/>
    <w:rsid w:val="00B65D93"/>
    <w:rsid w:val="00B959D7"/>
    <w:rsid w:val="00BB56E6"/>
    <w:rsid w:val="00BC7E0C"/>
    <w:rsid w:val="00BE29FF"/>
    <w:rsid w:val="00BE7F8A"/>
    <w:rsid w:val="00C03FC5"/>
    <w:rsid w:val="00C353CC"/>
    <w:rsid w:val="00C3610F"/>
    <w:rsid w:val="00C41F8B"/>
    <w:rsid w:val="00C55A36"/>
    <w:rsid w:val="00C72CB7"/>
    <w:rsid w:val="00C72E90"/>
    <w:rsid w:val="00CB6A35"/>
    <w:rsid w:val="00CC6125"/>
    <w:rsid w:val="00CF2BFA"/>
    <w:rsid w:val="00CF3D71"/>
    <w:rsid w:val="00D06BA9"/>
    <w:rsid w:val="00D20CF8"/>
    <w:rsid w:val="00D333E7"/>
    <w:rsid w:val="00D438C3"/>
    <w:rsid w:val="00D74DE3"/>
    <w:rsid w:val="00D86C10"/>
    <w:rsid w:val="00D92503"/>
    <w:rsid w:val="00D93053"/>
    <w:rsid w:val="00DA71F4"/>
    <w:rsid w:val="00DB049C"/>
    <w:rsid w:val="00DB128E"/>
    <w:rsid w:val="00DB1C70"/>
    <w:rsid w:val="00DC3F35"/>
    <w:rsid w:val="00DD770D"/>
    <w:rsid w:val="00DF1355"/>
    <w:rsid w:val="00E023BC"/>
    <w:rsid w:val="00E06887"/>
    <w:rsid w:val="00E237E4"/>
    <w:rsid w:val="00E26AE0"/>
    <w:rsid w:val="00E34058"/>
    <w:rsid w:val="00E444DD"/>
    <w:rsid w:val="00EB18C5"/>
    <w:rsid w:val="00EB3A5D"/>
    <w:rsid w:val="00EB4521"/>
    <w:rsid w:val="00EB48C2"/>
    <w:rsid w:val="00EB6423"/>
    <w:rsid w:val="00EC2E7C"/>
    <w:rsid w:val="00EC66EE"/>
    <w:rsid w:val="00ED2240"/>
    <w:rsid w:val="00EE2768"/>
    <w:rsid w:val="00F06015"/>
    <w:rsid w:val="00F06032"/>
    <w:rsid w:val="00F07FA5"/>
    <w:rsid w:val="00F113E6"/>
    <w:rsid w:val="00F131F4"/>
    <w:rsid w:val="00F33FE9"/>
    <w:rsid w:val="00F34CE7"/>
    <w:rsid w:val="00F44F1B"/>
    <w:rsid w:val="00F51E7C"/>
    <w:rsid w:val="00F76E3C"/>
    <w:rsid w:val="00F92245"/>
    <w:rsid w:val="00F94AA0"/>
    <w:rsid w:val="00FC18DC"/>
    <w:rsid w:val="00FC1900"/>
    <w:rsid w:val="00FF189A"/>
    <w:rsid w:val="00FF2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60D2E"/>
  <w15:chartTrackingRefBased/>
  <w15:docId w15:val="{B11AB0E2-CBB8-45E8-8FFB-F40E476F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74642"/>
    <w:pPr>
      <w:widowControl w:val="0"/>
      <w:autoSpaceDE w:val="0"/>
      <w:autoSpaceDN w:val="0"/>
      <w:spacing w:before="88" w:after="0" w:line="240" w:lineRule="auto"/>
      <w:ind w:left="920"/>
      <w:outlineLvl w:val="0"/>
    </w:pPr>
    <w:rPr>
      <w:rFonts w:ascii="Calibri" w:eastAsia="Calibri" w:hAnsi="Calibri" w:cs="Calibri"/>
      <w:b/>
      <w:bCs/>
      <w:kern w:val="0"/>
      <w:sz w:val="26"/>
      <w:szCs w:val="26"/>
      <w14:ligatures w14:val="none"/>
    </w:rPr>
  </w:style>
  <w:style w:type="paragraph" w:styleId="Heading3">
    <w:name w:val="heading 3"/>
    <w:basedOn w:val="Normal"/>
    <w:next w:val="Normal"/>
    <w:link w:val="Heading3Char"/>
    <w:uiPriority w:val="9"/>
    <w:semiHidden/>
    <w:unhideWhenUsed/>
    <w:qFormat/>
    <w:rsid w:val="00051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A93"/>
    <w:pPr>
      <w:ind w:left="720"/>
      <w:contextualSpacing/>
    </w:pPr>
  </w:style>
  <w:style w:type="paragraph" w:styleId="BodyText">
    <w:name w:val="Body Text"/>
    <w:basedOn w:val="Normal"/>
    <w:link w:val="BodyTextChar"/>
    <w:uiPriority w:val="99"/>
    <w:semiHidden/>
    <w:unhideWhenUsed/>
    <w:rsid w:val="00306CF2"/>
    <w:pPr>
      <w:spacing w:after="120"/>
    </w:pPr>
  </w:style>
  <w:style w:type="character" w:customStyle="1" w:styleId="BodyTextChar">
    <w:name w:val="Body Text Char"/>
    <w:basedOn w:val="DefaultParagraphFont"/>
    <w:link w:val="BodyText"/>
    <w:uiPriority w:val="99"/>
    <w:semiHidden/>
    <w:rsid w:val="00306CF2"/>
  </w:style>
  <w:style w:type="character" w:customStyle="1" w:styleId="Heading1Char">
    <w:name w:val="Heading 1 Char"/>
    <w:basedOn w:val="DefaultParagraphFont"/>
    <w:link w:val="Heading1"/>
    <w:uiPriority w:val="1"/>
    <w:rsid w:val="00674642"/>
    <w:rPr>
      <w:rFonts w:ascii="Calibri" w:eastAsia="Calibri" w:hAnsi="Calibri" w:cs="Calibri"/>
      <w:b/>
      <w:bCs/>
      <w:kern w:val="0"/>
      <w:sz w:val="26"/>
      <w:szCs w:val="26"/>
      <w14:ligatures w14:val="none"/>
    </w:rPr>
  </w:style>
  <w:style w:type="table" w:styleId="TableGrid">
    <w:name w:val="Table Grid"/>
    <w:basedOn w:val="TableNormal"/>
    <w:uiPriority w:val="39"/>
    <w:rsid w:val="0067464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17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5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201"/>
  </w:style>
  <w:style w:type="paragraph" w:styleId="Footer">
    <w:name w:val="footer"/>
    <w:basedOn w:val="Normal"/>
    <w:link w:val="FooterChar"/>
    <w:uiPriority w:val="99"/>
    <w:unhideWhenUsed/>
    <w:rsid w:val="008D5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 Women</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Karim</dc:creator>
  <cp:keywords/>
  <dc:description/>
  <cp:lastModifiedBy>JNCW1</cp:lastModifiedBy>
  <cp:revision>2</cp:revision>
  <dcterms:created xsi:type="dcterms:W3CDTF">2024-08-11T14:35:00Z</dcterms:created>
  <dcterms:modified xsi:type="dcterms:W3CDTF">2024-08-11T14:35:00Z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3f33f7e0-e9f3-46eb-b630-c31e7fcbde72</vt:lpwstr>
  </property>
</Properties>
</file>